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ind w:firstLine="560" w:firstLineChars="200"/>
        <w:rPr>
          <w:bCs/>
          <w:color w:val="000000" w:themeColor="text1"/>
          <w:sz w:val="28"/>
          <w14:textFill>
            <w14:solidFill>
              <w14:schemeClr w14:val="tx1"/>
            </w14:solidFill>
          </w14:textFill>
        </w:rPr>
      </w:pPr>
    </w:p>
    <w:p>
      <w:pPr>
        <w:spacing w:line="700" w:lineRule="exact"/>
        <w:ind w:firstLine="883" w:firstLineChars="200"/>
        <w:jc w:val="center"/>
        <w:rPr>
          <w:b/>
          <w:color w:val="000000" w:themeColor="text1"/>
          <w:sz w:val="44"/>
          <w:szCs w:val="44"/>
          <w14:textFill>
            <w14:solidFill>
              <w14:schemeClr w14:val="tx1"/>
            </w14:solidFill>
          </w14:textFill>
        </w:rPr>
      </w:pPr>
      <w:r>
        <w:rPr>
          <w:b/>
          <w:color w:val="000000" w:themeColor="text1"/>
          <w:sz w:val="44"/>
          <w:szCs w:val="44"/>
          <w14:textFill>
            <w14:solidFill>
              <w14:schemeClr w14:val="tx1"/>
            </w14:solidFill>
          </w14:textFill>
        </w:rPr>
        <w:t>惠阳区</w:t>
      </w:r>
      <w:r>
        <w:rPr>
          <w:rFonts w:hint="eastAsia"/>
          <w:b/>
          <w:color w:val="000000" w:themeColor="text1"/>
          <w:sz w:val="44"/>
          <w:szCs w:val="44"/>
          <w14:textFill>
            <w14:solidFill>
              <w14:schemeClr w14:val="tx1"/>
            </w14:solidFill>
          </w14:textFill>
        </w:rPr>
        <w:t>“三旧”改造</w:t>
      </w:r>
      <w:r>
        <w:rPr>
          <w:b/>
          <w:color w:val="000000" w:themeColor="text1"/>
          <w:sz w:val="44"/>
          <w:szCs w:val="44"/>
          <w14:textFill>
            <w14:solidFill>
              <w14:schemeClr w14:val="tx1"/>
            </w14:solidFill>
          </w14:textFill>
        </w:rPr>
        <w:t>项目前期工作</w:t>
      </w:r>
      <w:r>
        <w:rPr>
          <w:rFonts w:hint="eastAsia"/>
          <w:b/>
          <w:color w:val="000000" w:themeColor="text1"/>
          <w:sz w:val="44"/>
          <w:szCs w:val="44"/>
          <w14:textFill>
            <w14:solidFill>
              <w14:schemeClr w14:val="tx1"/>
            </w14:solidFill>
          </w14:textFill>
        </w:rPr>
        <w:t>指引</w:t>
      </w:r>
    </w:p>
    <w:p>
      <w:pPr>
        <w:spacing w:before="156" w:beforeLines="50" w:after="156" w:afterLines="50" w:line="700" w:lineRule="exact"/>
        <w:ind w:firstLine="562" w:firstLineChars="200"/>
        <w:jc w:val="center"/>
        <w:rPr>
          <w:rFonts w:ascii="仿宋" w:hAnsi="仿宋" w:eastAsia="仿宋" w:cs="仿宋"/>
          <w:b/>
          <w:bCs/>
          <w:color w:val="000000" w:themeColor="text1"/>
          <w:sz w:val="28"/>
          <w:szCs w:val="24"/>
          <w14:textFill>
            <w14:solidFill>
              <w14:schemeClr w14:val="tx1"/>
            </w14:solidFill>
          </w14:textFill>
        </w:rPr>
      </w:pPr>
      <w:r>
        <w:rPr>
          <w:rFonts w:hint="eastAsia" w:ascii="仿宋" w:hAnsi="仿宋" w:eastAsia="仿宋" w:cs="仿宋"/>
          <w:b/>
          <w:bCs/>
          <w:color w:val="000000" w:themeColor="text1"/>
          <w:sz w:val="28"/>
          <w:szCs w:val="24"/>
          <w14:textFill>
            <w14:solidFill>
              <w14:schemeClr w14:val="tx1"/>
            </w14:solidFill>
          </w14:textFill>
        </w:rPr>
        <w:t>（2023 0</w:t>
      </w:r>
      <w:r>
        <w:rPr>
          <w:rFonts w:hint="eastAsia" w:ascii="仿宋" w:hAnsi="仿宋" w:eastAsia="仿宋" w:cs="仿宋"/>
          <w:b/>
          <w:bCs/>
          <w:color w:val="000000" w:themeColor="text1"/>
          <w:sz w:val="28"/>
          <w:szCs w:val="24"/>
          <w:lang w:val="en-US" w:eastAsia="zh-CN"/>
          <w14:textFill>
            <w14:solidFill>
              <w14:schemeClr w14:val="tx1"/>
            </w14:solidFill>
          </w14:textFill>
        </w:rPr>
        <w:t>6</w:t>
      </w:r>
      <w:r>
        <w:rPr>
          <w:rFonts w:hint="eastAsia" w:ascii="仿宋" w:hAnsi="仿宋" w:eastAsia="仿宋" w:cs="仿宋"/>
          <w:b/>
          <w:bCs/>
          <w:color w:val="000000" w:themeColor="text1"/>
          <w:sz w:val="28"/>
          <w:szCs w:val="24"/>
          <w14:textFill>
            <w14:solidFill>
              <w14:schemeClr w14:val="tx1"/>
            </w14:solidFill>
          </w14:textFill>
        </w:rPr>
        <w:t xml:space="preserve"> </w:t>
      </w:r>
      <w:r>
        <w:rPr>
          <w:rFonts w:hint="eastAsia" w:ascii="仿宋" w:hAnsi="仿宋" w:eastAsia="仿宋" w:cs="仿宋"/>
          <w:b/>
          <w:bCs/>
          <w:color w:val="000000" w:themeColor="text1"/>
          <w:sz w:val="28"/>
          <w:szCs w:val="24"/>
          <w:lang w:val="en-US" w:eastAsia="zh-CN"/>
          <w14:textFill>
            <w14:solidFill>
              <w14:schemeClr w14:val="tx1"/>
            </w14:solidFill>
          </w14:textFill>
        </w:rPr>
        <w:t xml:space="preserve">30 </w:t>
      </w:r>
      <w:r>
        <w:rPr>
          <w:rFonts w:hint="eastAsia" w:ascii="仿宋" w:hAnsi="仿宋" w:eastAsia="仿宋" w:cs="仿宋"/>
          <w:b/>
          <w:bCs/>
          <w:color w:val="000000" w:themeColor="text1"/>
          <w:sz w:val="28"/>
          <w:szCs w:val="24"/>
          <w:lang w:eastAsia="zh-CN"/>
          <w14:textFill>
            <w14:solidFill>
              <w14:schemeClr w14:val="tx1"/>
            </w14:solidFill>
          </w14:textFill>
        </w:rPr>
        <w:t>征求意见稿</w:t>
      </w:r>
      <w:r>
        <w:rPr>
          <w:rFonts w:hint="eastAsia" w:ascii="仿宋" w:hAnsi="仿宋" w:eastAsia="仿宋" w:cs="仿宋"/>
          <w:b/>
          <w:bCs/>
          <w:color w:val="000000" w:themeColor="text1"/>
          <w:sz w:val="28"/>
          <w:szCs w:val="24"/>
          <w14:textFill>
            <w14:solidFill>
              <w14:schemeClr w14:val="tx1"/>
            </w14:solidFill>
          </w14:textFill>
        </w:rPr>
        <w:t>）</w:t>
      </w:r>
    </w:p>
    <w:p>
      <w:pPr>
        <w:widowControl/>
        <w:spacing w:line="700" w:lineRule="exact"/>
        <w:ind w:firstLine="560" w:firstLineChars="200"/>
        <w:rPr>
          <w:rFonts w:ascii="仿宋_GB2312" w:hAnsi="仿宋_GB2312" w:eastAsia="仿宋_GB2312" w:cs="仿宋_GB2312"/>
          <w:bCs/>
          <w:color w:val="000000" w:themeColor="text1"/>
          <w:kern w:val="0"/>
          <w:sz w:val="28"/>
          <w:szCs w:val="30"/>
          <w14:textFill>
            <w14:solidFill>
              <w14:schemeClr w14:val="tx1"/>
            </w14:solidFill>
          </w14:textFill>
        </w:rPr>
      </w:pPr>
      <w:r>
        <w:rPr>
          <w:rFonts w:ascii="仿宋_GB2312" w:hAnsi="仿宋_GB2312" w:eastAsia="仿宋_GB2312" w:cs="仿宋_GB2312"/>
          <w:bCs/>
          <w:color w:val="000000" w:themeColor="text1"/>
          <w:kern w:val="0"/>
          <w:sz w:val="28"/>
          <w:szCs w:val="30"/>
          <w14:textFill>
            <w14:solidFill>
              <w14:schemeClr w14:val="tx1"/>
            </w14:solidFill>
          </w14:textFill>
        </w:rPr>
        <w:t>为贯彻落实党的二十大精神和省、市关于推动高质量发展有关精神和工作部署，强化政府的统筹</w:t>
      </w:r>
      <w:r>
        <w:rPr>
          <w:rFonts w:hint="eastAsia" w:ascii="仿宋_GB2312" w:hAnsi="仿宋_GB2312" w:eastAsia="仿宋_GB2312" w:cs="仿宋_GB2312"/>
          <w:bCs/>
          <w:color w:val="000000" w:themeColor="text1"/>
          <w:kern w:val="0"/>
          <w:sz w:val="28"/>
          <w:szCs w:val="30"/>
          <w:lang w:eastAsia="zh-CN"/>
          <w14:textFill>
            <w14:solidFill>
              <w14:schemeClr w14:val="tx1"/>
            </w14:solidFill>
          </w14:textFill>
        </w:rPr>
        <w:t>引</w:t>
      </w:r>
      <w:r>
        <w:rPr>
          <w:rFonts w:ascii="仿宋_GB2312" w:hAnsi="仿宋_GB2312" w:eastAsia="仿宋_GB2312" w:cs="仿宋_GB2312"/>
          <w:bCs/>
          <w:color w:val="000000" w:themeColor="text1"/>
          <w:kern w:val="0"/>
          <w:sz w:val="28"/>
          <w:szCs w:val="30"/>
          <w14:textFill>
            <w14:solidFill>
              <w14:schemeClr w14:val="tx1"/>
            </w14:solidFill>
          </w14:textFill>
        </w:rPr>
        <w:t>导，建立公平</w:t>
      </w:r>
      <w:r>
        <w:rPr>
          <w:rFonts w:hint="eastAsia" w:ascii="仿宋_GB2312" w:hAnsi="仿宋_GB2312" w:eastAsia="仿宋_GB2312" w:cs="仿宋_GB2312"/>
          <w:bCs/>
          <w:color w:val="000000" w:themeColor="text1"/>
          <w:kern w:val="0"/>
          <w:sz w:val="28"/>
          <w:szCs w:val="30"/>
          <w14:textFill>
            <w14:solidFill>
              <w14:schemeClr w14:val="tx1"/>
            </w14:solidFill>
          </w14:textFill>
        </w:rPr>
        <w:t>公正公开、规范有序</w:t>
      </w:r>
      <w:r>
        <w:rPr>
          <w:rFonts w:ascii="仿宋_GB2312" w:hAnsi="仿宋_GB2312" w:eastAsia="仿宋_GB2312" w:cs="仿宋_GB2312"/>
          <w:bCs/>
          <w:color w:val="000000" w:themeColor="text1"/>
          <w:kern w:val="0"/>
          <w:sz w:val="28"/>
          <w:szCs w:val="30"/>
          <w14:textFill>
            <w14:solidFill>
              <w14:schemeClr w14:val="tx1"/>
            </w14:solidFill>
          </w14:textFill>
        </w:rPr>
        <w:t>的“</w:t>
      </w:r>
      <w:bookmarkStart w:id="0" w:name="_GoBack"/>
      <w:bookmarkEnd w:id="0"/>
      <w:r>
        <w:rPr>
          <w:rFonts w:ascii="仿宋_GB2312" w:hAnsi="仿宋_GB2312" w:eastAsia="仿宋_GB2312" w:cs="仿宋_GB2312"/>
          <w:bCs/>
          <w:color w:val="000000" w:themeColor="text1"/>
          <w:kern w:val="0"/>
          <w:sz w:val="28"/>
          <w:szCs w:val="30"/>
          <w14:textFill>
            <w14:solidFill>
              <w14:schemeClr w14:val="tx1"/>
            </w14:solidFill>
          </w14:textFill>
        </w:rPr>
        <w:t>三旧”改造市场</w:t>
      </w:r>
      <w:r>
        <w:rPr>
          <w:rFonts w:hint="eastAsia" w:ascii="仿宋_GB2312" w:hAnsi="仿宋_GB2312" w:eastAsia="仿宋_GB2312" w:cs="仿宋_GB2312"/>
          <w:bCs/>
          <w:color w:val="000000" w:themeColor="text1"/>
          <w:kern w:val="0"/>
          <w:sz w:val="28"/>
          <w:szCs w:val="30"/>
          <w14:textFill>
            <w14:solidFill>
              <w14:schemeClr w14:val="tx1"/>
            </w14:solidFill>
          </w14:textFill>
        </w:rPr>
        <w:t>环境</w:t>
      </w:r>
      <w:r>
        <w:rPr>
          <w:rFonts w:ascii="仿宋_GB2312" w:hAnsi="仿宋_GB2312" w:eastAsia="仿宋_GB2312" w:cs="仿宋_GB2312"/>
          <w:bCs/>
          <w:color w:val="000000" w:themeColor="text1"/>
          <w:kern w:val="0"/>
          <w:sz w:val="28"/>
          <w:szCs w:val="30"/>
          <w14:textFill>
            <w14:solidFill>
              <w14:schemeClr w14:val="tx1"/>
            </w14:solidFill>
          </w14:textFill>
        </w:rPr>
        <w:t>，推动“三旧”改造高质量发展，根据《广东省旧城镇旧厂房旧村庄改造管理办法》（粤府令第 279 号）、《广东省人民政府关于深化改革加快推动“三旧”改造促进高质量发展的指导意见》（粤府〔2019〕71 号）、</w:t>
      </w:r>
      <w:r>
        <w:rPr>
          <w:rFonts w:hint="eastAsia" w:ascii="仿宋_GB2312" w:hAnsi="仿宋_GB2312" w:eastAsia="仿宋_GB2312" w:cs="仿宋_GB2312"/>
          <w:bCs/>
          <w:color w:val="000000" w:themeColor="text1"/>
          <w:kern w:val="0"/>
          <w:sz w:val="28"/>
          <w:szCs w:val="30"/>
          <w14:textFill>
            <w14:solidFill>
              <w14:schemeClr w14:val="tx1"/>
            </w14:solidFill>
          </w14:textFill>
        </w:rPr>
        <w:t>《惠州市惠阳区旧城镇旧厂房旧村庄改造暂行办法》（惠阳府办〔2022〕4号）</w:t>
      </w:r>
      <w:r>
        <w:rPr>
          <w:rFonts w:ascii="仿宋_GB2312" w:hAnsi="仿宋_GB2312" w:eastAsia="仿宋_GB2312" w:cs="仿宋_GB2312"/>
          <w:bCs/>
          <w:color w:val="000000" w:themeColor="text1"/>
          <w:kern w:val="0"/>
          <w:sz w:val="28"/>
          <w:szCs w:val="30"/>
          <w14:textFill>
            <w14:solidFill>
              <w14:schemeClr w14:val="tx1"/>
            </w14:solidFill>
          </w14:textFill>
        </w:rPr>
        <w:t>等政策规定，结合我</w:t>
      </w:r>
      <w:r>
        <w:rPr>
          <w:rFonts w:hint="eastAsia" w:ascii="仿宋_GB2312" w:hAnsi="仿宋_GB2312" w:eastAsia="仿宋_GB2312" w:cs="仿宋_GB2312"/>
          <w:bCs/>
          <w:color w:val="000000" w:themeColor="text1"/>
          <w:kern w:val="0"/>
          <w:sz w:val="28"/>
          <w:szCs w:val="30"/>
          <w14:textFill>
            <w14:solidFill>
              <w14:schemeClr w14:val="tx1"/>
            </w14:solidFill>
          </w14:textFill>
        </w:rPr>
        <w:t>区</w:t>
      </w:r>
      <w:r>
        <w:rPr>
          <w:rFonts w:ascii="仿宋_GB2312" w:hAnsi="仿宋_GB2312" w:eastAsia="仿宋_GB2312" w:cs="仿宋_GB2312"/>
          <w:bCs/>
          <w:color w:val="000000" w:themeColor="text1"/>
          <w:kern w:val="0"/>
          <w:sz w:val="28"/>
          <w:szCs w:val="30"/>
          <w14:textFill>
            <w14:solidFill>
              <w14:schemeClr w14:val="tx1"/>
            </w14:solidFill>
          </w14:textFill>
        </w:rPr>
        <w:t>实际，</w:t>
      </w:r>
      <w:r>
        <w:rPr>
          <w:rFonts w:hint="eastAsia" w:ascii="仿宋_GB2312" w:hAnsi="仿宋_GB2312" w:eastAsia="仿宋_GB2312" w:cs="仿宋_GB2312"/>
          <w:bCs/>
          <w:color w:val="000000" w:themeColor="text1"/>
          <w:kern w:val="0"/>
          <w:sz w:val="28"/>
          <w:szCs w:val="30"/>
          <w14:textFill>
            <w14:solidFill>
              <w14:schemeClr w14:val="tx1"/>
            </w14:solidFill>
          </w14:textFill>
        </w:rPr>
        <w:t>特制定本工作指引</w:t>
      </w:r>
      <w:r>
        <w:rPr>
          <w:rFonts w:ascii="仿宋_GB2312" w:hAnsi="仿宋_GB2312" w:eastAsia="仿宋_GB2312" w:cs="仿宋_GB2312"/>
          <w:bCs/>
          <w:color w:val="000000" w:themeColor="text1"/>
          <w:kern w:val="0"/>
          <w:sz w:val="28"/>
          <w:szCs w:val="30"/>
          <w14:textFill>
            <w14:solidFill>
              <w14:schemeClr w14:val="tx1"/>
            </w14:solidFill>
          </w14:textFill>
        </w:rPr>
        <w:t xml:space="preserve">。 </w:t>
      </w:r>
    </w:p>
    <w:p>
      <w:pPr>
        <w:widowControl/>
        <w:spacing w:line="700" w:lineRule="exact"/>
        <w:ind w:firstLine="562" w:firstLineChars="200"/>
        <w:rPr>
          <w:rFonts w:ascii="仿宋_GB2312" w:hAnsi="仿宋_GB2312" w:eastAsia="仿宋_GB2312" w:cs="仿宋_GB2312"/>
          <w:b/>
          <w:color w:val="000000" w:themeColor="text1"/>
          <w:kern w:val="0"/>
          <w:sz w:val="28"/>
          <w:szCs w:val="31"/>
          <w14:textFill>
            <w14:solidFill>
              <w14:schemeClr w14:val="tx1"/>
            </w14:solidFill>
          </w14:textFill>
        </w:rPr>
      </w:pPr>
      <w:r>
        <w:rPr>
          <w:rFonts w:hint="eastAsia" w:ascii="仿宋_GB2312" w:hAnsi="仿宋_GB2312" w:eastAsia="仿宋_GB2312" w:cs="仿宋_GB2312"/>
          <w:b/>
          <w:color w:val="000000" w:themeColor="text1"/>
          <w:kern w:val="0"/>
          <w:sz w:val="28"/>
          <w:szCs w:val="31"/>
          <w14:textFill>
            <w14:solidFill>
              <w14:schemeClr w14:val="tx1"/>
            </w14:solidFill>
          </w14:textFill>
        </w:rPr>
        <w:t>第一条 适用范围</w:t>
      </w:r>
    </w:p>
    <w:p>
      <w:pPr>
        <w:widowControl/>
        <w:spacing w:line="700" w:lineRule="exact"/>
        <w:ind w:firstLine="560" w:firstLineChars="200"/>
        <w:rPr>
          <w:rFonts w:hint="eastAsia" w:ascii="仿宋_GB2312" w:hAnsi="仿宋_GB2312" w:eastAsia="仿宋_GB2312" w:cs="仿宋_GB2312"/>
          <w:b/>
          <w:color w:val="000000" w:themeColor="text1"/>
          <w:kern w:val="0"/>
          <w:sz w:val="28"/>
          <w:szCs w:val="30"/>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惠阳区行政区域内“三旧”改造单元（项目）内原权利主体或拟改造主体提出改造申请，依据《惠州市惠阳区旧城镇旧厂房旧村庄改造暂行办法》需编制“三旧”改造单元（项目）可行性研究报告开展改造的，可按照法定方式引入前期服务机构，适用本指引。</w:t>
      </w:r>
    </w:p>
    <w:p>
      <w:pPr>
        <w:widowControl/>
        <w:spacing w:line="700" w:lineRule="exact"/>
        <w:ind w:firstLine="562" w:firstLineChars="200"/>
        <w:rPr>
          <w:rFonts w:hint="eastAsia" w:ascii="仿宋_GB2312" w:hAnsi="仿宋_GB2312" w:eastAsia="仿宋_GB2312" w:cs="仿宋_GB2312"/>
          <w:b/>
          <w:color w:val="000000" w:themeColor="text1"/>
          <w:kern w:val="0"/>
          <w:sz w:val="28"/>
          <w:szCs w:val="30"/>
          <w:lang w:eastAsia="zh-CN"/>
          <w14:textFill>
            <w14:solidFill>
              <w14:schemeClr w14:val="tx1"/>
            </w14:solidFill>
          </w14:textFill>
        </w:rPr>
      </w:pPr>
      <w:r>
        <w:rPr>
          <w:rFonts w:hint="eastAsia" w:ascii="仿宋_GB2312" w:hAnsi="仿宋_GB2312" w:eastAsia="仿宋_GB2312" w:cs="仿宋_GB2312"/>
          <w:b/>
          <w:color w:val="000000" w:themeColor="text1"/>
          <w:kern w:val="0"/>
          <w:sz w:val="28"/>
          <w:szCs w:val="30"/>
          <w14:textFill>
            <w14:solidFill>
              <w14:schemeClr w14:val="tx1"/>
            </w14:solidFill>
          </w14:textFill>
        </w:rPr>
        <w:t>第二条 责任主体</w:t>
      </w:r>
      <w:r>
        <w:rPr>
          <w:rFonts w:hint="eastAsia" w:ascii="仿宋_GB2312" w:hAnsi="仿宋_GB2312" w:eastAsia="仿宋_GB2312" w:cs="仿宋_GB2312"/>
          <w:b/>
          <w:color w:val="000000" w:themeColor="text1"/>
          <w:kern w:val="0"/>
          <w:sz w:val="28"/>
          <w:szCs w:val="30"/>
          <w:lang w:eastAsia="zh-CN"/>
          <w14:textFill>
            <w14:solidFill>
              <w14:schemeClr w14:val="tx1"/>
            </w14:solidFill>
          </w14:textFill>
        </w:rPr>
        <w:t>与招选方式</w:t>
      </w:r>
    </w:p>
    <w:p>
      <w:pPr>
        <w:widowControl/>
        <w:spacing w:line="700" w:lineRule="exact"/>
        <w:ind w:firstLine="560" w:firstLineChars="200"/>
        <w:rPr>
          <w:rFonts w:ascii="仿宋_GB2312" w:hAnsi="仿宋_GB2312" w:eastAsia="仿宋_GB2312" w:cs="仿宋_GB2312"/>
          <w:bCs/>
          <w:color w:val="000000" w:themeColor="text1"/>
          <w:kern w:val="0"/>
          <w:sz w:val="28"/>
          <w:szCs w:val="30"/>
          <w14:textFill>
            <w14:solidFill>
              <w14:schemeClr w14:val="tx1"/>
            </w14:solidFill>
          </w14:textFill>
        </w:rPr>
      </w:pPr>
      <w:r>
        <w:rPr>
          <w:rFonts w:hint="eastAsia" w:ascii="仿宋_GB2312" w:hAnsi="仿宋_GB2312" w:eastAsia="仿宋_GB2312" w:cs="仿宋_GB2312"/>
          <w:bCs/>
          <w:color w:val="000000" w:themeColor="text1"/>
          <w:kern w:val="0"/>
          <w:sz w:val="28"/>
          <w:szCs w:val="30"/>
          <w14:textFill>
            <w14:solidFill>
              <w14:schemeClr w14:val="tx1"/>
            </w14:solidFill>
          </w14:textFill>
        </w:rPr>
        <w:t>“三旧”改造单元（项目）属地镇人民政府（街道办事处）</w:t>
      </w:r>
      <w:r>
        <w:rPr>
          <w:rFonts w:hint="eastAsia" w:ascii="仿宋_GB2312" w:hAnsi="仿宋_GB2312" w:eastAsia="仿宋_GB2312" w:cs="仿宋_GB2312"/>
          <w:bCs/>
          <w:color w:val="000000" w:themeColor="text1"/>
          <w:kern w:val="0"/>
          <w:sz w:val="28"/>
          <w:szCs w:val="30"/>
          <w:lang w:eastAsia="zh-CN"/>
          <w14:textFill>
            <w14:solidFill>
              <w14:schemeClr w14:val="tx1"/>
            </w14:solidFill>
          </w14:textFill>
        </w:rPr>
        <w:t>为</w:t>
      </w:r>
      <w:r>
        <w:rPr>
          <w:rFonts w:ascii="仿宋_GB2312" w:hAnsi="仿宋_GB2312" w:eastAsia="仿宋_GB2312" w:cs="仿宋_GB2312"/>
          <w:bCs/>
          <w:color w:val="000000" w:themeColor="text1"/>
          <w:kern w:val="0"/>
          <w:sz w:val="28"/>
          <w:szCs w:val="30"/>
          <w14:textFill>
            <w14:solidFill>
              <w14:schemeClr w14:val="tx1"/>
            </w14:solidFill>
          </w14:textFill>
        </w:rPr>
        <w:t xml:space="preserve">前期工作的责任主体，负责组织开展各项前期工作，可通过以下方式开展： </w:t>
      </w:r>
    </w:p>
    <w:p>
      <w:pPr>
        <w:spacing w:before="156" w:beforeLines="50" w:after="156" w:afterLines="50"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ascii="仿宋_GB2312" w:hAnsi="仿宋_GB2312" w:eastAsia="仿宋_GB2312" w:cs="仿宋_GB2312"/>
          <w:bCs/>
          <w:color w:val="000000" w:themeColor="text1"/>
          <w:kern w:val="0"/>
          <w:sz w:val="28"/>
          <w:szCs w:val="31"/>
          <w14:textFill>
            <w14:solidFill>
              <w14:schemeClr w14:val="tx1"/>
            </w14:solidFill>
          </w14:textFill>
        </w:rPr>
        <w:t>（一）</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政府主导</w:t>
      </w:r>
      <w:r>
        <w:rPr>
          <w:rFonts w:ascii="仿宋_GB2312" w:hAnsi="仿宋_GB2312" w:eastAsia="仿宋_GB2312" w:cs="仿宋_GB2312"/>
          <w:bCs/>
          <w:color w:val="000000" w:themeColor="text1"/>
          <w:kern w:val="0"/>
          <w:sz w:val="28"/>
          <w:szCs w:val="31"/>
          <w14:textFill>
            <w14:solidFill>
              <w14:schemeClr w14:val="tx1"/>
            </w14:solidFill>
          </w14:textFill>
        </w:rPr>
        <w:t>实施</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的改造项目</w:t>
      </w:r>
      <w:r>
        <w:rPr>
          <w:rFonts w:ascii="仿宋_GB2312" w:hAnsi="仿宋_GB2312" w:eastAsia="仿宋_GB2312" w:cs="仿宋_GB2312"/>
          <w:bCs/>
          <w:color w:val="000000" w:themeColor="text1"/>
          <w:kern w:val="0"/>
          <w:sz w:val="28"/>
          <w:szCs w:val="31"/>
          <w14:textFill>
            <w14:solidFill>
              <w14:schemeClr w14:val="tx1"/>
            </w14:solidFill>
          </w14:textFill>
        </w:rPr>
        <w:t>，可通过政府采购方式聘请熟悉省、市</w:t>
      </w:r>
      <w:r>
        <w:rPr>
          <w:rFonts w:hint="eastAsia" w:ascii="仿宋_GB2312" w:hAnsi="仿宋_GB2312" w:eastAsia="仿宋_GB2312" w:cs="仿宋_GB2312"/>
          <w:bCs/>
          <w:color w:val="000000" w:themeColor="text1"/>
          <w:kern w:val="0"/>
          <w:sz w:val="28"/>
          <w:szCs w:val="31"/>
          <w14:textFill>
            <w14:solidFill>
              <w14:schemeClr w14:val="tx1"/>
            </w14:solidFill>
          </w14:textFill>
        </w:rPr>
        <w:t>、区</w:t>
      </w:r>
      <w:r>
        <w:rPr>
          <w:rFonts w:ascii="仿宋_GB2312" w:hAnsi="仿宋_GB2312" w:eastAsia="仿宋_GB2312" w:cs="仿宋_GB2312"/>
          <w:bCs/>
          <w:color w:val="000000" w:themeColor="text1"/>
          <w:kern w:val="0"/>
          <w:sz w:val="28"/>
          <w:szCs w:val="31"/>
          <w14:textFill>
            <w14:solidFill>
              <w14:schemeClr w14:val="tx1"/>
            </w14:solidFill>
          </w14:textFill>
        </w:rPr>
        <w:t>“三旧”改造（城市更新）政策，具备规划设计、</w:t>
      </w:r>
      <w:r>
        <w:rPr>
          <w:rFonts w:hint="eastAsia" w:ascii="仿宋_GB2312" w:hAnsi="仿宋_GB2312" w:eastAsia="仿宋_GB2312" w:cs="仿宋_GB2312"/>
          <w:bCs/>
          <w:color w:val="000000" w:themeColor="text1"/>
          <w:kern w:val="0"/>
          <w:sz w:val="28"/>
          <w:szCs w:val="31"/>
          <w14:textFill>
            <w14:solidFill>
              <w14:schemeClr w14:val="tx1"/>
            </w14:solidFill>
          </w14:textFill>
        </w:rPr>
        <w:t>界线与不动产测绘</w:t>
      </w:r>
      <w:r>
        <w:rPr>
          <w:rFonts w:ascii="仿宋_GB2312" w:hAnsi="仿宋_GB2312" w:eastAsia="仿宋_GB2312" w:cs="仿宋_GB2312"/>
          <w:bCs/>
          <w:color w:val="000000" w:themeColor="text1"/>
          <w:kern w:val="0"/>
          <w:sz w:val="28"/>
          <w:szCs w:val="31"/>
          <w14:textFill>
            <w14:solidFill>
              <w14:schemeClr w14:val="tx1"/>
            </w14:solidFill>
          </w14:textFill>
        </w:rPr>
        <w:t>、土地和房地产估价、拆迁补偿、方案编制、法律事务等方面技术力量的专业</w:t>
      </w:r>
      <w:r>
        <w:rPr>
          <w:rFonts w:hint="eastAsia" w:ascii="仿宋_GB2312" w:hAnsi="仿宋_GB2312" w:eastAsia="仿宋_GB2312" w:cs="仿宋_GB2312"/>
          <w:bCs/>
          <w:color w:val="000000" w:themeColor="text1"/>
          <w:kern w:val="0"/>
          <w:sz w:val="28"/>
          <w:szCs w:val="31"/>
          <w:lang w:val="en-US" w:eastAsia="zh-CN"/>
          <w14:textFill>
            <w14:solidFill>
              <w14:schemeClr w14:val="tx1"/>
            </w14:solidFill>
          </w14:textFill>
        </w:rPr>
        <w:t>联合</w:t>
      </w:r>
      <w:r>
        <w:rPr>
          <w:rFonts w:ascii="仿宋_GB2312" w:hAnsi="仿宋_GB2312" w:eastAsia="仿宋_GB2312" w:cs="仿宋_GB2312"/>
          <w:bCs/>
          <w:color w:val="000000" w:themeColor="text1"/>
          <w:kern w:val="0"/>
          <w:sz w:val="28"/>
          <w:szCs w:val="31"/>
          <w14:textFill>
            <w14:solidFill>
              <w14:schemeClr w14:val="tx1"/>
            </w14:solidFill>
          </w14:textFill>
        </w:rPr>
        <w:t>机构协助开展前期工作；</w:t>
      </w:r>
    </w:p>
    <w:p>
      <w:pPr>
        <w:widowControl/>
        <w:spacing w:before="156" w:beforeLines="50" w:after="156" w:afterLines="50" w:line="700" w:lineRule="exact"/>
        <w:ind w:firstLine="560" w:firstLineChars="200"/>
        <w:rPr>
          <w:bCs/>
          <w:color w:val="000000" w:themeColor="text1"/>
          <w:sz w:val="28"/>
          <w14:textFill>
            <w14:solidFill>
              <w14:schemeClr w14:val="tx1"/>
            </w14:solidFill>
          </w14:textFill>
        </w:rPr>
      </w:pP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（二）政府主导</w:t>
      </w:r>
      <w:r>
        <w:rPr>
          <w:rFonts w:ascii="仿宋_GB2312" w:hAnsi="仿宋_GB2312" w:eastAsia="仿宋_GB2312" w:cs="仿宋_GB2312"/>
          <w:bCs/>
          <w:color w:val="000000" w:themeColor="text1"/>
          <w:kern w:val="0"/>
          <w:sz w:val="28"/>
          <w:szCs w:val="31"/>
          <w14:textFill>
            <w14:solidFill>
              <w14:schemeClr w14:val="tx1"/>
            </w14:solidFill>
          </w14:textFill>
        </w:rPr>
        <w:t>实施</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的改造项目</w:t>
      </w:r>
      <w:r>
        <w:rPr>
          <w:rFonts w:ascii="仿宋_GB2312" w:hAnsi="仿宋_GB2312" w:eastAsia="仿宋_GB2312" w:cs="仿宋_GB2312"/>
          <w:bCs/>
          <w:color w:val="000000" w:themeColor="text1"/>
          <w:kern w:val="0"/>
          <w:sz w:val="28"/>
          <w:szCs w:val="31"/>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镇人民政府（街道办事处）</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可</w:t>
      </w:r>
      <w:r>
        <w:rPr>
          <w:rFonts w:ascii="仿宋_GB2312" w:hAnsi="仿宋_GB2312" w:eastAsia="仿宋_GB2312" w:cs="仿宋_GB2312"/>
          <w:bCs/>
          <w:color w:val="000000" w:themeColor="text1"/>
          <w:kern w:val="0"/>
          <w:sz w:val="28"/>
          <w:szCs w:val="31"/>
          <w14:textFill>
            <w14:solidFill>
              <w14:schemeClr w14:val="tx1"/>
            </w14:solidFill>
          </w14:textFill>
        </w:rPr>
        <w:t>授权</w:t>
      </w:r>
      <w:r>
        <w:rPr>
          <w:rFonts w:hint="eastAsia" w:ascii="仿宋_GB2312" w:hAnsi="仿宋_GB2312" w:eastAsia="仿宋_GB2312" w:cs="仿宋_GB2312"/>
          <w:bCs/>
          <w:color w:val="000000" w:themeColor="text1"/>
          <w:kern w:val="0"/>
          <w:sz w:val="28"/>
          <w:szCs w:val="31"/>
          <w14:textFill>
            <w14:solidFill>
              <w14:schemeClr w14:val="tx1"/>
            </w14:solidFill>
          </w14:textFill>
        </w:rPr>
        <w:t>镇（街道）下属</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国有</w:t>
      </w:r>
      <w:r>
        <w:rPr>
          <w:rFonts w:hint="eastAsia" w:ascii="仿宋_GB2312" w:hAnsi="仿宋_GB2312" w:eastAsia="仿宋_GB2312" w:cs="仿宋_GB2312"/>
          <w:bCs/>
          <w:color w:val="000000" w:themeColor="text1"/>
          <w:kern w:val="0"/>
          <w:sz w:val="28"/>
          <w:szCs w:val="31"/>
          <w14:textFill>
            <w14:solidFill>
              <w14:schemeClr w14:val="tx1"/>
            </w14:solidFill>
          </w14:textFill>
        </w:rPr>
        <w:t>企业实施、区</w:t>
      </w:r>
      <w:r>
        <w:rPr>
          <w:rFonts w:ascii="仿宋_GB2312" w:hAnsi="仿宋_GB2312" w:eastAsia="仿宋_GB2312" w:cs="仿宋_GB2312"/>
          <w:bCs/>
          <w:color w:val="000000" w:themeColor="text1"/>
          <w:kern w:val="0"/>
          <w:sz w:val="28"/>
          <w:szCs w:val="31"/>
          <w14:textFill>
            <w14:solidFill>
              <w14:schemeClr w14:val="tx1"/>
            </w14:solidFill>
          </w14:textFill>
        </w:rPr>
        <w:t>属</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国有</w:t>
      </w:r>
      <w:r>
        <w:rPr>
          <w:rFonts w:ascii="仿宋_GB2312" w:hAnsi="仿宋_GB2312" w:eastAsia="仿宋_GB2312" w:cs="仿宋_GB2312"/>
          <w:bCs/>
          <w:color w:val="000000" w:themeColor="text1"/>
          <w:kern w:val="0"/>
          <w:sz w:val="28"/>
          <w:szCs w:val="31"/>
          <w14:textFill>
            <w14:solidFill>
              <w14:schemeClr w14:val="tx1"/>
            </w14:solidFill>
          </w14:textFill>
        </w:rPr>
        <w:t>企业</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、市属国有企业</w:t>
      </w:r>
      <w:r>
        <w:rPr>
          <w:rFonts w:ascii="仿宋_GB2312" w:hAnsi="仿宋_GB2312" w:eastAsia="仿宋_GB2312" w:cs="仿宋_GB2312"/>
          <w:bCs/>
          <w:color w:val="000000" w:themeColor="text1"/>
          <w:kern w:val="0"/>
          <w:sz w:val="28"/>
          <w:szCs w:val="31"/>
          <w14:textFill>
            <w14:solidFill>
              <w14:schemeClr w14:val="tx1"/>
            </w14:solidFill>
          </w14:textFill>
        </w:rPr>
        <w:t>作为</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前期服务的</w:t>
      </w:r>
      <w:r>
        <w:rPr>
          <w:rFonts w:ascii="仿宋_GB2312" w:hAnsi="仿宋_GB2312" w:eastAsia="仿宋_GB2312" w:cs="仿宋_GB2312"/>
          <w:bCs/>
          <w:color w:val="000000" w:themeColor="text1"/>
          <w:kern w:val="0"/>
          <w:sz w:val="28"/>
          <w:szCs w:val="31"/>
          <w14:textFill>
            <w14:solidFill>
              <w14:schemeClr w14:val="tx1"/>
            </w14:solidFill>
          </w14:textFill>
        </w:rPr>
        <w:t>统筹主体，</w:t>
      </w:r>
      <w:r>
        <w:rPr>
          <w:rFonts w:hint="eastAsia" w:ascii="仿宋_GB2312" w:hAnsi="仿宋_GB2312" w:eastAsia="仿宋_GB2312" w:cs="仿宋_GB2312"/>
          <w:bCs/>
          <w:color w:val="000000" w:themeColor="text1"/>
          <w:kern w:val="0"/>
          <w:sz w:val="28"/>
          <w:szCs w:val="31"/>
          <w14:textFill>
            <w14:solidFill>
              <w14:schemeClr w14:val="tx1"/>
            </w14:solidFill>
          </w14:textFill>
        </w:rPr>
        <w:t>按照法定方式选取</w:t>
      </w:r>
      <w:r>
        <w:rPr>
          <w:rFonts w:ascii="仿宋_GB2312" w:hAnsi="仿宋_GB2312" w:eastAsia="仿宋_GB2312" w:cs="仿宋_GB2312"/>
          <w:bCs/>
          <w:color w:val="000000" w:themeColor="text1"/>
          <w:kern w:val="0"/>
          <w:sz w:val="28"/>
          <w:szCs w:val="31"/>
          <w14:textFill>
            <w14:solidFill>
              <w14:schemeClr w14:val="tx1"/>
            </w14:solidFill>
          </w14:textFill>
        </w:rPr>
        <w:t>相关专业</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技术</w:t>
      </w:r>
      <w:r>
        <w:rPr>
          <w:rFonts w:ascii="仿宋_GB2312" w:hAnsi="仿宋_GB2312" w:eastAsia="仿宋_GB2312" w:cs="仿宋_GB2312"/>
          <w:bCs/>
          <w:color w:val="000000" w:themeColor="text1"/>
          <w:kern w:val="0"/>
          <w:sz w:val="28"/>
          <w:szCs w:val="31"/>
          <w14:textFill>
            <w14:solidFill>
              <w14:schemeClr w14:val="tx1"/>
            </w14:solidFill>
          </w14:textFill>
        </w:rPr>
        <w:t>机构协助开展前期工作</w:t>
      </w:r>
      <w:r>
        <w:rPr>
          <w:rFonts w:hint="eastAsia" w:ascii="仿宋_GB2312" w:hAnsi="仿宋_GB2312" w:eastAsia="仿宋_GB2312" w:cs="仿宋_GB2312"/>
          <w:bCs/>
          <w:color w:val="000000" w:themeColor="text1"/>
          <w:kern w:val="0"/>
          <w:sz w:val="28"/>
          <w:szCs w:val="31"/>
          <w14:textFill>
            <w14:solidFill>
              <w14:schemeClr w14:val="tx1"/>
            </w14:solidFill>
          </w14:textFill>
        </w:rPr>
        <w:t>；</w:t>
      </w:r>
    </w:p>
    <w:p>
      <w:pPr>
        <w:widowControl/>
        <w:spacing w:before="156" w:beforeLines="50" w:after="156" w:afterLines="50" w:line="700" w:lineRule="exact"/>
        <w:ind w:firstLine="560" w:firstLineChars="200"/>
        <w:rPr>
          <w:bCs/>
          <w:color w:val="000000" w:themeColor="text1"/>
          <w:sz w:val="28"/>
          <w14:textFill>
            <w14:solidFill>
              <w14:schemeClr w14:val="tx1"/>
            </w14:solidFill>
          </w14:textFill>
        </w:rPr>
      </w:pPr>
      <w:r>
        <w:rPr>
          <w:rFonts w:ascii="仿宋_GB2312" w:hAnsi="仿宋_GB2312" w:eastAsia="仿宋_GB2312" w:cs="仿宋_GB2312"/>
          <w:bCs/>
          <w:color w:val="000000" w:themeColor="text1"/>
          <w:kern w:val="0"/>
          <w:sz w:val="28"/>
          <w:szCs w:val="31"/>
          <w14:textFill>
            <w14:solidFill>
              <w14:schemeClr w14:val="tx1"/>
            </w14:solidFill>
          </w14:textFill>
        </w:rPr>
        <w:t>（</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三</w:t>
      </w:r>
      <w:r>
        <w:rPr>
          <w:rFonts w:ascii="仿宋_GB2312" w:hAnsi="仿宋_GB2312" w:eastAsia="仿宋_GB2312" w:cs="仿宋_GB2312"/>
          <w:bCs/>
          <w:color w:val="000000" w:themeColor="text1"/>
          <w:kern w:val="0"/>
          <w:sz w:val="28"/>
          <w:szCs w:val="31"/>
          <w14:textFill>
            <w14:solidFill>
              <w14:schemeClr w14:val="tx1"/>
            </w14:solidFill>
          </w14:textFill>
        </w:rPr>
        <w:t>）</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市场主导</w:t>
      </w:r>
      <w:r>
        <w:rPr>
          <w:rFonts w:ascii="仿宋_GB2312" w:hAnsi="仿宋_GB2312" w:eastAsia="仿宋_GB2312" w:cs="仿宋_GB2312"/>
          <w:bCs/>
          <w:color w:val="000000" w:themeColor="text1"/>
          <w:kern w:val="0"/>
          <w:sz w:val="28"/>
          <w:szCs w:val="31"/>
          <w14:textFill>
            <w14:solidFill>
              <w14:schemeClr w14:val="tx1"/>
            </w14:solidFill>
          </w14:textFill>
        </w:rPr>
        <w:t>实施</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的改造项目</w:t>
      </w:r>
      <w:r>
        <w:rPr>
          <w:rFonts w:ascii="仿宋_GB2312" w:hAnsi="仿宋_GB2312" w:eastAsia="仿宋_GB2312" w:cs="仿宋_GB2312"/>
          <w:bCs/>
          <w:color w:val="000000" w:themeColor="text1"/>
          <w:kern w:val="0"/>
          <w:sz w:val="28"/>
          <w:szCs w:val="31"/>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镇人民政府（街道办事处）受项目原权利人委托可根据具体情况采用竞争性谈判或公开招投标等法定方式确定前期工作服务机构</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ascii="仿宋_GB2312" w:hAnsi="仿宋_GB2312" w:eastAsia="仿宋_GB2312" w:cs="仿宋_GB2312"/>
          <w:bCs/>
          <w:color w:val="000000" w:themeColor="text1"/>
          <w:kern w:val="0"/>
          <w:sz w:val="28"/>
          <w:szCs w:val="31"/>
          <w14:textFill>
            <w14:solidFill>
              <w14:schemeClr w14:val="tx1"/>
            </w14:solidFill>
          </w14:textFill>
        </w:rPr>
        <w:t xml:space="preserve"> </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四</w:t>
      </w:r>
      <w:r>
        <w:rPr>
          <w:rFonts w:hint="eastAsia" w:ascii="仿宋_GB2312" w:hAnsi="仿宋_GB2312" w:eastAsia="仿宋_GB2312" w:cs="仿宋_GB2312"/>
          <w:bCs/>
          <w:color w:val="000000" w:themeColor="text1"/>
          <w:kern w:val="0"/>
          <w:sz w:val="28"/>
          <w:szCs w:val="31"/>
          <w14:textFill>
            <w14:solidFill>
              <w14:schemeClr w14:val="tx1"/>
            </w14:solidFill>
          </w14:textFill>
        </w:rPr>
        <w:t>）拆除重建范围主要为集体土地的改造单元</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31"/>
          <w:lang w:val="en-US" w:eastAsia="zh-CN"/>
          <w14:textFill>
            <w14:solidFill>
              <w14:schemeClr w14:val="tx1"/>
            </w14:solidFill>
          </w14:textFill>
        </w:rPr>
        <w:t>项目）</w:t>
      </w:r>
      <w:r>
        <w:rPr>
          <w:rFonts w:hint="eastAsia" w:ascii="仿宋_GB2312" w:hAnsi="仿宋_GB2312" w:eastAsia="仿宋_GB2312" w:cs="仿宋_GB2312"/>
          <w:bCs/>
          <w:color w:val="000000" w:themeColor="text1"/>
          <w:kern w:val="0"/>
          <w:sz w:val="28"/>
          <w:szCs w:val="31"/>
          <w14:textFill>
            <w14:solidFill>
              <w14:schemeClr w14:val="tx1"/>
            </w14:solidFill>
          </w14:textFill>
        </w:rPr>
        <w:t>，</w:t>
      </w:r>
      <w:r>
        <w:rPr>
          <w:rFonts w:ascii="仿宋_GB2312" w:hAnsi="仿宋_GB2312" w:eastAsia="仿宋_GB2312" w:cs="仿宋_GB2312"/>
          <w:bCs/>
          <w:color w:val="000000" w:themeColor="text1"/>
          <w:kern w:val="0"/>
          <w:sz w:val="28"/>
          <w:szCs w:val="31"/>
          <w14:textFill>
            <w14:solidFill>
              <w14:schemeClr w14:val="tx1"/>
            </w14:solidFill>
          </w14:textFill>
        </w:rPr>
        <w:t>应在</w:t>
      </w:r>
      <w:r>
        <w:rPr>
          <w:rFonts w:hint="eastAsia" w:ascii="仿宋_GB2312" w:hAnsi="仿宋_GB2312" w:eastAsia="仿宋_GB2312" w:cs="仿宋_GB2312"/>
          <w:bCs/>
          <w:color w:val="000000" w:themeColor="text1"/>
          <w:kern w:val="0"/>
          <w:sz w:val="28"/>
          <w:szCs w:val="31"/>
          <w14:textFill>
            <w14:solidFill>
              <w14:schemeClr w14:val="tx1"/>
            </w14:solidFill>
          </w14:textFill>
        </w:rPr>
        <w:t>镇人民政府（街道办事处）的</w:t>
      </w:r>
      <w:r>
        <w:rPr>
          <w:rFonts w:ascii="仿宋_GB2312" w:hAnsi="仿宋_GB2312" w:eastAsia="仿宋_GB2312" w:cs="仿宋_GB2312"/>
          <w:bCs/>
          <w:color w:val="000000" w:themeColor="text1"/>
          <w:kern w:val="0"/>
          <w:sz w:val="28"/>
          <w:szCs w:val="31"/>
          <w14:textFill>
            <w14:solidFill>
              <w14:schemeClr w14:val="tx1"/>
            </w14:solidFill>
          </w14:textFill>
        </w:rPr>
        <w:t>指导下编制前期服务机构招</w:t>
      </w:r>
      <w:r>
        <w:rPr>
          <w:rFonts w:hint="eastAsia" w:ascii="仿宋_GB2312" w:hAnsi="仿宋_GB2312" w:eastAsia="仿宋_GB2312" w:cs="仿宋_GB2312"/>
          <w:bCs/>
          <w:color w:val="000000" w:themeColor="text1"/>
          <w:kern w:val="0"/>
          <w:sz w:val="28"/>
          <w:szCs w:val="31"/>
          <w14:textFill>
            <w14:solidFill>
              <w14:schemeClr w14:val="tx1"/>
            </w14:solidFill>
          </w14:textFill>
        </w:rPr>
        <w:t>标</w:t>
      </w:r>
      <w:r>
        <w:rPr>
          <w:rFonts w:ascii="仿宋_GB2312" w:hAnsi="仿宋_GB2312" w:eastAsia="仿宋_GB2312" w:cs="仿宋_GB2312"/>
          <w:bCs/>
          <w:color w:val="000000" w:themeColor="text1"/>
          <w:kern w:val="0"/>
          <w:sz w:val="28"/>
          <w:szCs w:val="31"/>
          <w14:textFill>
            <w14:solidFill>
              <w14:schemeClr w14:val="tx1"/>
            </w14:solidFill>
          </w14:textFill>
        </w:rPr>
        <w:t>文件，并</w:t>
      </w:r>
      <w:r>
        <w:rPr>
          <w:rFonts w:hint="eastAsia" w:ascii="仿宋_GB2312" w:hAnsi="仿宋_GB2312" w:eastAsia="仿宋_GB2312" w:cs="仿宋_GB2312"/>
          <w:bCs/>
          <w:color w:val="000000" w:themeColor="text1"/>
          <w:kern w:val="0"/>
          <w:sz w:val="28"/>
          <w:szCs w:val="31"/>
          <w14:textFill>
            <w14:solidFill>
              <w14:schemeClr w14:val="tx1"/>
            </w14:solidFill>
          </w14:textFill>
        </w:rPr>
        <w:t>由项目所属村集体委托镇人民政府（街道办事处）</w:t>
      </w:r>
      <w:r>
        <w:rPr>
          <w:rFonts w:ascii="仿宋_GB2312" w:hAnsi="仿宋_GB2312" w:eastAsia="仿宋_GB2312" w:cs="仿宋_GB2312"/>
          <w:bCs/>
          <w:color w:val="000000" w:themeColor="text1"/>
          <w:kern w:val="0"/>
          <w:sz w:val="28"/>
          <w:szCs w:val="31"/>
          <w14:textFill>
            <w14:solidFill>
              <w14:schemeClr w14:val="tx1"/>
            </w14:solidFill>
          </w14:textFill>
        </w:rPr>
        <w:t>公开招选</w:t>
      </w:r>
      <w:r>
        <w:rPr>
          <w:rFonts w:hint="eastAsia" w:ascii="仿宋_GB2312" w:hAnsi="仿宋_GB2312" w:eastAsia="仿宋_GB2312" w:cs="仿宋_GB2312"/>
          <w:bCs/>
          <w:color w:val="000000" w:themeColor="text1"/>
          <w:kern w:val="0"/>
          <w:sz w:val="28"/>
          <w:szCs w:val="31"/>
          <w14:textFill>
            <w14:solidFill>
              <w14:schemeClr w14:val="tx1"/>
            </w14:solidFill>
          </w14:textFill>
        </w:rPr>
        <w:t>前期服务机构</w:t>
      </w:r>
      <w:r>
        <w:rPr>
          <w:rFonts w:ascii="仿宋_GB2312" w:hAnsi="仿宋_GB2312" w:eastAsia="仿宋_GB2312" w:cs="仿宋_GB2312"/>
          <w:bCs/>
          <w:color w:val="000000" w:themeColor="text1"/>
          <w:kern w:val="0"/>
          <w:sz w:val="28"/>
          <w:szCs w:val="31"/>
          <w14:textFill>
            <w14:solidFill>
              <w14:schemeClr w14:val="tx1"/>
            </w14:solidFill>
          </w14:textFill>
        </w:rPr>
        <w:t>。</w:t>
      </w:r>
    </w:p>
    <w:p>
      <w:pPr>
        <w:widowControl/>
        <w:spacing w:line="700" w:lineRule="exact"/>
        <w:ind w:firstLine="560" w:firstLineChars="200"/>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五</w:t>
      </w:r>
      <w:r>
        <w:rPr>
          <w:rFonts w:hint="eastAsia" w:ascii="仿宋_GB2312" w:hAnsi="仿宋_GB2312" w:eastAsia="仿宋_GB2312" w:cs="仿宋_GB2312"/>
          <w:bCs/>
          <w:color w:val="000000" w:themeColor="text1"/>
          <w:kern w:val="0"/>
          <w:sz w:val="28"/>
          <w:szCs w:val="31"/>
          <w14:textFill>
            <w14:solidFill>
              <w14:schemeClr w14:val="tx1"/>
            </w14:solidFill>
          </w14:textFill>
        </w:rPr>
        <w:t>）拟改造范围存在以下情形之一的，须委托镇人民政府（街道办事处）通过农村产权流转交易平台或惠州市公共资源交易中心惠阳分中心或其他法定方式，以公开方式选定“三旧”改造项目前期工作服务机构</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p>
    <w:p>
      <w:pPr>
        <w:widowControl/>
        <w:spacing w:before="156" w:beforeLines="50" w:after="156" w:afterLines="50" w:line="700" w:lineRule="exact"/>
        <w:ind w:firstLine="560" w:firstLineChars="200"/>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(1）涉及农村集体经济组织或者其他公有经济成分占主导地位</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的</w:t>
      </w:r>
      <w:r>
        <w:rPr>
          <w:rFonts w:hint="eastAsia" w:ascii="仿宋_GB2312" w:hAnsi="仿宋_GB2312" w:eastAsia="仿宋_GB2312" w:cs="仿宋_GB2312"/>
          <w:bCs/>
          <w:color w:val="000000" w:themeColor="text1"/>
          <w:kern w:val="0"/>
          <w:sz w:val="28"/>
          <w:szCs w:val="31"/>
          <w14:textFill>
            <w14:solidFill>
              <w14:schemeClr w14:val="tx1"/>
            </w14:solidFill>
          </w14:textFill>
        </w:rPr>
        <w:t>区、镇人民政府（街道办事处）、机关事业单位土地房屋，下属国有经济成分占主导地位的公司、企业土地房屋，或其他须按规定公开处置的国有不动产（以下简称"区</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镇</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街</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公有资产"）</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p>
    <w:p>
      <w:pPr>
        <w:widowControl/>
        <w:spacing w:before="156" w:beforeLines="50" w:after="156" w:afterLines="50"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(2）国有土地、集体土地交杂，土地使用权类型不同、土地用途混杂、</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原</w:t>
      </w:r>
      <w:r>
        <w:rPr>
          <w:rFonts w:hint="eastAsia" w:ascii="仿宋_GB2312" w:hAnsi="仿宋_GB2312" w:eastAsia="仿宋_GB2312" w:cs="仿宋_GB2312"/>
          <w:bCs/>
          <w:color w:val="000000" w:themeColor="text1"/>
          <w:kern w:val="0"/>
          <w:sz w:val="28"/>
          <w:szCs w:val="31"/>
          <w14:textFill>
            <w14:solidFill>
              <w14:schemeClr w14:val="tx1"/>
            </w14:solidFill>
          </w14:textFill>
        </w:rPr>
        <w:t>权利人分散</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等情况</w:t>
      </w:r>
      <w:r>
        <w:rPr>
          <w:rFonts w:hint="eastAsia" w:ascii="仿宋_GB2312" w:hAnsi="仿宋_GB2312" w:eastAsia="仿宋_GB2312" w:cs="仿宋_GB2312"/>
          <w:bCs/>
          <w:color w:val="000000" w:themeColor="text1"/>
          <w:kern w:val="0"/>
          <w:sz w:val="28"/>
          <w:szCs w:val="31"/>
          <w14:textFill>
            <w14:solidFill>
              <w14:schemeClr w14:val="tx1"/>
            </w14:solidFill>
          </w14:textFill>
        </w:rPr>
        <w:t>的“三旧”改造</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p>
    <w:p>
      <w:pPr>
        <w:widowControl/>
        <w:spacing w:line="700" w:lineRule="exact"/>
        <w:ind w:firstLine="560" w:firstLineChars="200"/>
        <w:rPr>
          <w:rFonts w:ascii="仿宋_GB2312" w:hAnsi="仿宋_GB2312" w:eastAsia="仿宋_GB2312" w:cs="仿宋_GB2312"/>
          <w:b/>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六</w:t>
      </w:r>
      <w:r>
        <w:rPr>
          <w:rFonts w:hint="eastAsia" w:ascii="仿宋_GB2312" w:hAnsi="仿宋_GB2312" w:eastAsia="仿宋_GB2312" w:cs="仿宋_GB2312"/>
          <w:bCs/>
          <w:color w:val="000000" w:themeColor="text1"/>
          <w:kern w:val="0"/>
          <w:sz w:val="28"/>
          <w:szCs w:val="31"/>
          <w14:textFill>
            <w14:solidFill>
              <w14:schemeClr w14:val="tx1"/>
            </w14:solidFill>
          </w14:textFill>
        </w:rPr>
        <w:t>）前期工作服务</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机构</w:t>
      </w:r>
      <w:r>
        <w:rPr>
          <w:rFonts w:hint="eastAsia" w:ascii="仿宋_GB2312" w:hAnsi="仿宋_GB2312" w:eastAsia="仿宋_GB2312" w:cs="仿宋_GB2312"/>
          <w:bCs/>
          <w:color w:val="000000" w:themeColor="text1"/>
          <w:kern w:val="0"/>
          <w:sz w:val="28"/>
          <w:szCs w:val="31"/>
          <w14:textFill>
            <w14:solidFill>
              <w14:schemeClr w14:val="tx1"/>
            </w14:solidFill>
          </w14:textFill>
        </w:rPr>
        <w:t>招选文件，主要内容包括：招选方案、改造单元（项目）相关图纸</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内容要求</w:t>
      </w:r>
      <w:r>
        <w:rPr>
          <w:rFonts w:hint="eastAsia" w:ascii="仿宋_GB2312" w:hAnsi="仿宋_GB2312" w:eastAsia="仿宋_GB2312" w:cs="仿宋_GB2312"/>
          <w:bCs/>
          <w:color w:val="000000" w:themeColor="text1"/>
          <w:kern w:val="0"/>
          <w:sz w:val="28"/>
          <w:szCs w:val="31"/>
          <w14:textFill>
            <w14:solidFill>
              <w14:schemeClr w14:val="tx1"/>
            </w14:solidFill>
          </w14:textFill>
        </w:rPr>
        <w:t>、服务协议、招引前期工作服务商意向企业资信要求（包括但不限于企业资质、</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专业人员资质及人员配备、</w:t>
      </w:r>
      <w:r>
        <w:rPr>
          <w:rFonts w:hint="eastAsia" w:ascii="仿宋_GB2312" w:hAnsi="仿宋_GB2312" w:eastAsia="仿宋_GB2312" w:cs="仿宋_GB2312"/>
          <w:bCs/>
          <w:color w:val="000000" w:themeColor="text1"/>
          <w:kern w:val="0"/>
          <w:sz w:val="28"/>
          <w:szCs w:val="31"/>
          <w14:textFill>
            <w14:solidFill>
              <w14:schemeClr w14:val="tx1"/>
            </w14:solidFill>
          </w14:textFill>
        </w:rPr>
        <w:t>服务经验、企业信用、服务计划书等）、其它与前期工作相关的资料。</w:t>
      </w:r>
    </w:p>
    <w:p>
      <w:pPr>
        <w:widowControl/>
        <w:spacing w:line="700" w:lineRule="exact"/>
        <w:ind w:firstLine="562" w:firstLineChars="200"/>
        <w:rPr>
          <w:rFonts w:ascii="仿宋_GB2312" w:hAnsi="仿宋_GB2312" w:eastAsia="仿宋_GB2312" w:cs="仿宋_GB2312"/>
          <w:b/>
          <w:color w:val="000000" w:themeColor="text1"/>
          <w:kern w:val="0"/>
          <w:sz w:val="28"/>
          <w:szCs w:val="31"/>
          <w14:textFill>
            <w14:solidFill>
              <w14:schemeClr w14:val="tx1"/>
            </w14:solidFill>
          </w14:textFill>
        </w:rPr>
      </w:pPr>
      <w:r>
        <w:rPr>
          <w:rFonts w:hint="eastAsia" w:ascii="仿宋_GB2312" w:hAnsi="仿宋_GB2312" w:eastAsia="仿宋_GB2312" w:cs="仿宋_GB2312"/>
          <w:b/>
          <w:color w:val="000000" w:themeColor="text1"/>
          <w:kern w:val="0"/>
          <w:sz w:val="28"/>
          <w:szCs w:val="31"/>
          <w14:textFill>
            <w14:solidFill>
              <w14:schemeClr w14:val="tx1"/>
            </w14:solidFill>
          </w14:textFill>
        </w:rPr>
        <w:t>第三条 准入条件</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一、参与前期服务机构的</w:t>
      </w:r>
      <w:r>
        <w:rPr>
          <w:rFonts w:hint="eastAsia" w:ascii="仿宋_GB2312" w:hAnsi="仿宋_GB2312" w:eastAsia="仿宋_GB2312" w:cs="仿宋_GB2312"/>
          <w:bCs/>
          <w:color w:val="000000" w:themeColor="text1"/>
          <w:kern w:val="0"/>
          <w:sz w:val="28"/>
          <w:szCs w:val="31"/>
          <w:lang w:val="en-US" w:eastAsia="zh-CN"/>
          <w14:textFill>
            <w14:solidFill>
              <w14:schemeClr w14:val="tx1"/>
            </w14:solidFill>
          </w14:textFill>
        </w:rPr>
        <w:t>单位</w:t>
      </w:r>
      <w:r>
        <w:rPr>
          <w:rFonts w:hint="eastAsia" w:ascii="仿宋_GB2312" w:hAnsi="仿宋_GB2312" w:eastAsia="仿宋_GB2312" w:cs="仿宋_GB2312"/>
          <w:bCs/>
          <w:color w:val="000000" w:themeColor="text1"/>
          <w:kern w:val="0"/>
          <w:sz w:val="28"/>
          <w:szCs w:val="31"/>
          <w14:textFill>
            <w14:solidFill>
              <w14:schemeClr w14:val="tx1"/>
            </w14:solidFill>
          </w14:textFill>
        </w:rPr>
        <w:t>应具有独立法人资格</w:t>
      </w:r>
      <w:r>
        <w:rPr>
          <w:rFonts w:hint="eastAsia" w:ascii="仿宋_GB2312" w:hAnsi="仿宋_GB2312" w:eastAsia="仿宋_GB2312" w:cs="仿宋_GB2312"/>
          <w:bCs/>
          <w:color w:val="000000" w:themeColor="text1"/>
          <w:kern w:val="0"/>
          <w:sz w:val="28"/>
          <w:szCs w:val="31"/>
          <w:lang w:val="en-US" w:eastAsia="zh-CN"/>
          <w14:textFill>
            <w14:solidFill>
              <w14:schemeClr w14:val="tx1"/>
            </w14:solidFill>
          </w14:textFill>
        </w:rPr>
        <w:t>或专业资质</w:t>
      </w:r>
      <w:r>
        <w:rPr>
          <w:rFonts w:hint="eastAsia" w:ascii="仿宋_GB2312" w:hAnsi="仿宋_GB2312" w:eastAsia="仿宋_GB2312" w:cs="仿宋_GB2312"/>
          <w:bCs/>
          <w:color w:val="000000" w:themeColor="text1"/>
          <w:kern w:val="0"/>
          <w:sz w:val="28"/>
          <w:szCs w:val="31"/>
          <w14:textFill>
            <w14:solidFill>
              <w14:schemeClr w14:val="tx1"/>
            </w14:solidFill>
          </w14:textFill>
        </w:rPr>
        <w:t>，两家以上可组成联合体。前期服务机构参与报名时，须提交服务事项建议书，具体要求如下：</w:t>
      </w:r>
    </w:p>
    <w:p>
      <w:pPr>
        <w:widowControl/>
        <w:spacing w:line="700" w:lineRule="exact"/>
        <w:ind w:firstLine="560" w:firstLineChars="200"/>
        <w:rPr>
          <w:rFonts w:hint="eastAsia"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（一）需具有城乡规划、土地规划、测绘、会计和法律等的相应资质，并</w:t>
      </w:r>
      <w:r>
        <w:rPr>
          <w:rFonts w:ascii="仿宋_GB2312" w:hAnsi="仿宋_GB2312" w:eastAsia="仿宋_GB2312" w:cs="仿宋_GB2312"/>
          <w:bCs/>
          <w:color w:val="000000" w:themeColor="text1"/>
          <w:kern w:val="0"/>
          <w:sz w:val="28"/>
          <w:szCs w:val="31"/>
          <w14:textFill>
            <w14:solidFill>
              <w14:schemeClr w14:val="tx1"/>
            </w14:solidFill>
          </w14:textFill>
        </w:rPr>
        <w:t>熟悉</w:t>
      </w:r>
      <w:r>
        <w:rPr>
          <w:rFonts w:hint="eastAsia" w:ascii="仿宋_GB2312" w:hAnsi="仿宋_GB2312" w:eastAsia="仿宋_GB2312" w:cs="仿宋_GB2312"/>
          <w:bCs/>
          <w:color w:val="000000" w:themeColor="text1"/>
          <w:kern w:val="0"/>
          <w:sz w:val="28"/>
          <w:szCs w:val="31"/>
          <w14:textFill>
            <w14:solidFill>
              <w14:schemeClr w14:val="tx1"/>
            </w14:solidFill>
          </w14:textFill>
        </w:rPr>
        <w:t>广东</w:t>
      </w:r>
      <w:r>
        <w:rPr>
          <w:rFonts w:ascii="仿宋_GB2312" w:hAnsi="仿宋_GB2312" w:eastAsia="仿宋_GB2312" w:cs="仿宋_GB2312"/>
          <w:bCs/>
          <w:color w:val="000000" w:themeColor="text1"/>
          <w:kern w:val="0"/>
          <w:sz w:val="28"/>
          <w:szCs w:val="31"/>
          <w14:textFill>
            <w14:solidFill>
              <w14:schemeClr w14:val="tx1"/>
            </w14:solidFill>
          </w14:textFill>
        </w:rPr>
        <w:t>省、市</w:t>
      </w:r>
      <w:r>
        <w:rPr>
          <w:rFonts w:hint="eastAsia" w:ascii="仿宋_GB2312" w:hAnsi="仿宋_GB2312" w:eastAsia="仿宋_GB2312" w:cs="仿宋_GB2312"/>
          <w:bCs/>
          <w:color w:val="000000" w:themeColor="text1"/>
          <w:kern w:val="0"/>
          <w:sz w:val="28"/>
          <w:szCs w:val="31"/>
          <w14:textFill>
            <w14:solidFill>
              <w14:schemeClr w14:val="tx1"/>
            </w14:solidFill>
          </w14:textFill>
        </w:rPr>
        <w:t>、区</w:t>
      </w:r>
      <w:r>
        <w:rPr>
          <w:rFonts w:ascii="仿宋_GB2312" w:hAnsi="仿宋_GB2312" w:eastAsia="仿宋_GB2312" w:cs="仿宋_GB2312"/>
          <w:bCs/>
          <w:color w:val="000000" w:themeColor="text1"/>
          <w:kern w:val="0"/>
          <w:sz w:val="28"/>
          <w:szCs w:val="31"/>
          <w14:textFill>
            <w14:solidFill>
              <w14:schemeClr w14:val="tx1"/>
            </w14:solidFill>
          </w14:textFill>
        </w:rPr>
        <w:t>“三旧”改造（城市更新）政策</w:t>
      </w:r>
      <w:r>
        <w:rPr>
          <w:rFonts w:hint="eastAsia" w:ascii="仿宋_GB2312" w:hAnsi="仿宋_GB2312" w:eastAsia="仿宋_GB2312" w:cs="仿宋_GB2312"/>
          <w:bCs/>
          <w:color w:val="000000" w:themeColor="text1"/>
          <w:kern w:val="0"/>
          <w:sz w:val="28"/>
          <w:szCs w:val="31"/>
          <w14:textFill>
            <w14:solidFill>
              <w14:schemeClr w14:val="tx1"/>
            </w14:solidFill>
          </w14:textFill>
        </w:rPr>
        <w:t>、程序及相关规定、要求。</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（二）涉及</w:t>
      </w:r>
      <w:r>
        <w:rPr>
          <w:rFonts w:ascii="仿宋_GB2312" w:hAnsi="仿宋_GB2312" w:eastAsia="仿宋_GB2312" w:cs="仿宋_GB2312"/>
          <w:bCs/>
          <w:color w:val="000000" w:themeColor="text1"/>
          <w:kern w:val="0"/>
          <w:sz w:val="28"/>
          <w:szCs w:val="31"/>
          <w14:textFill>
            <w14:solidFill>
              <w14:schemeClr w14:val="tx1"/>
            </w14:solidFill>
          </w14:textFill>
        </w:rPr>
        <w:t>规划</w:t>
      </w:r>
      <w:r>
        <w:rPr>
          <w:rFonts w:hint="eastAsia" w:ascii="仿宋_GB2312" w:hAnsi="仿宋_GB2312" w:eastAsia="仿宋_GB2312" w:cs="仿宋_GB2312"/>
          <w:bCs/>
          <w:color w:val="000000" w:themeColor="text1"/>
          <w:kern w:val="0"/>
          <w:sz w:val="28"/>
          <w:szCs w:val="31"/>
          <w14:textFill>
            <w14:solidFill>
              <w14:schemeClr w14:val="tx1"/>
            </w14:solidFill>
          </w14:textFill>
        </w:rPr>
        <w:t>、建筑</w:t>
      </w:r>
      <w:r>
        <w:rPr>
          <w:rFonts w:ascii="仿宋_GB2312" w:hAnsi="仿宋_GB2312" w:eastAsia="仿宋_GB2312" w:cs="仿宋_GB2312"/>
          <w:bCs/>
          <w:color w:val="000000" w:themeColor="text1"/>
          <w:kern w:val="0"/>
          <w:sz w:val="28"/>
          <w:szCs w:val="31"/>
          <w14:textFill>
            <w14:solidFill>
              <w14:schemeClr w14:val="tx1"/>
            </w14:solidFill>
          </w14:textFill>
        </w:rPr>
        <w:t>应</w:t>
      </w:r>
      <w:r>
        <w:rPr>
          <w:rFonts w:hint="eastAsia" w:ascii="仿宋_GB2312" w:hAnsi="仿宋_GB2312" w:eastAsia="仿宋_GB2312" w:cs="仿宋_GB2312"/>
          <w:bCs/>
          <w:color w:val="000000" w:themeColor="text1"/>
          <w:kern w:val="0"/>
          <w:sz w:val="28"/>
          <w:szCs w:val="31"/>
          <w14:textFill>
            <w14:solidFill>
              <w14:schemeClr w14:val="tx1"/>
            </w14:solidFill>
          </w14:textFill>
        </w:rPr>
        <w:t>需具备甲</w:t>
      </w:r>
      <w:r>
        <w:rPr>
          <w:rFonts w:ascii="仿宋_GB2312" w:hAnsi="仿宋_GB2312" w:eastAsia="仿宋_GB2312" w:cs="仿宋_GB2312"/>
          <w:bCs/>
          <w:color w:val="000000" w:themeColor="text1"/>
          <w:kern w:val="0"/>
          <w:sz w:val="28"/>
          <w:szCs w:val="31"/>
          <w14:textFill>
            <w14:solidFill>
              <w14:schemeClr w14:val="tx1"/>
            </w14:solidFill>
          </w14:textFill>
        </w:rPr>
        <w:t>级城乡规划编制资质</w:t>
      </w:r>
      <w:r>
        <w:rPr>
          <w:rFonts w:hint="eastAsia" w:ascii="仿宋_GB2312" w:hAnsi="仿宋_GB2312" w:eastAsia="仿宋_GB2312" w:cs="仿宋_GB2312"/>
          <w:bCs/>
          <w:color w:val="000000" w:themeColor="text1"/>
          <w:kern w:val="0"/>
          <w:sz w:val="28"/>
          <w:szCs w:val="31"/>
          <w14:textFill>
            <w14:solidFill>
              <w14:schemeClr w14:val="tx1"/>
            </w14:solidFill>
          </w14:textFill>
        </w:rPr>
        <w:t>、建筑工程设计甲</w:t>
      </w:r>
      <w:r>
        <w:rPr>
          <w:rFonts w:ascii="仿宋_GB2312" w:hAnsi="仿宋_GB2312" w:eastAsia="仿宋_GB2312" w:cs="仿宋_GB2312"/>
          <w:bCs/>
          <w:color w:val="000000" w:themeColor="text1"/>
          <w:kern w:val="0"/>
          <w:sz w:val="28"/>
          <w:szCs w:val="31"/>
          <w14:textFill>
            <w14:solidFill>
              <w14:schemeClr w14:val="tx1"/>
            </w14:solidFill>
          </w14:textFill>
        </w:rPr>
        <w:t>级</w:t>
      </w:r>
      <w:r>
        <w:rPr>
          <w:rFonts w:hint="eastAsia" w:ascii="仿宋_GB2312" w:hAnsi="仿宋_GB2312" w:eastAsia="仿宋_GB2312" w:cs="仿宋_GB2312"/>
          <w:bCs/>
          <w:color w:val="000000" w:themeColor="text1"/>
          <w:kern w:val="0"/>
          <w:sz w:val="28"/>
          <w:szCs w:val="31"/>
          <w14:textFill>
            <w14:solidFill>
              <w14:schemeClr w14:val="tx1"/>
            </w14:solidFill>
          </w14:textFill>
        </w:rPr>
        <w:t>资质，并具备组织前期工作驻项目现场所需的专业技术人员保障。</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（三）具有自然资源部门颁发的《测绘资质证书》，应具备工程测量和界线与不动产测绘专业资质, 按照《测绘资质分类分级标准》中的作业限额承接自然资源日常测绘业务。两年内无测绘地理信息行业严重失信信息记录，且不存在因严重违法和严重失信行为被列入失信联合惩戒对象名单的情况。</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 xml:space="preserve">（四）涉及政府（集体）计算综合收益的，需具备土地估价机构资质、房地产估价机构资质。 </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五</w:t>
      </w:r>
      <w:r>
        <w:rPr>
          <w:rFonts w:hint="eastAsia" w:ascii="仿宋_GB2312" w:hAnsi="仿宋_GB2312" w:eastAsia="仿宋_GB2312" w:cs="仿宋_GB2312"/>
          <w:bCs/>
          <w:color w:val="000000" w:themeColor="text1"/>
          <w:kern w:val="0"/>
          <w:sz w:val="28"/>
          <w:szCs w:val="31"/>
          <w14:textFill>
            <w14:solidFill>
              <w14:schemeClr w14:val="tx1"/>
            </w14:solidFill>
          </w14:textFill>
        </w:rPr>
        <w:t>）涉及利用地籍调查等成果开展相关工作的，需参与机构具备处理涉密数据资格条件。</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六</w:t>
      </w:r>
      <w:r>
        <w:rPr>
          <w:rFonts w:hint="eastAsia" w:ascii="仿宋_GB2312" w:hAnsi="仿宋_GB2312" w:eastAsia="仿宋_GB2312" w:cs="仿宋_GB2312"/>
          <w:bCs/>
          <w:color w:val="000000" w:themeColor="text1"/>
          <w:kern w:val="0"/>
          <w:sz w:val="28"/>
          <w:szCs w:val="31"/>
          <w14:textFill>
            <w14:solidFill>
              <w14:schemeClr w14:val="tx1"/>
            </w14:solidFill>
          </w14:textFill>
        </w:rPr>
        <w:t>）涉及意愿征询、拟定补偿方案、编制公开交易方案需具有熟悉“三旧”改造（城市更新）项目拆迁补偿、利益统筹等法律实务经验。</w:t>
      </w:r>
    </w:p>
    <w:p>
      <w:pPr>
        <w:widowControl/>
        <w:spacing w:line="700" w:lineRule="exact"/>
        <w:ind w:firstLine="560" w:firstLineChars="200"/>
        <w:rPr>
          <w:rFonts w:hint="eastAsia"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二、前期服务机构应具备城市更新（"三旧"改造）领域相关经验，同行业或相关行业内具有较好口碑评价。三年内在国家、省、市信用信息系统有不良记录，或被人民法院列入失信名单的企业不得报名参与前期工作服务</w:t>
      </w:r>
      <w:r>
        <w:rPr>
          <w:rFonts w:hint="eastAsia" w:ascii="仿宋_GB2312" w:hAnsi="仿宋_GB2312" w:eastAsia="仿宋_GB2312" w:cs="仿宋_GB2312"/>
          <w:bCs/>
          <w:color w:val="000000" w:themeColor="text1"/>
          <w:kern w:val="0"/>
          <w:sz w:val="28"/>
          <w:szCs w:val="31"/>
          <w:lang w:val="en-US" w:eastAsia="zh-CN"/>
          <w14:textFill>
            <w14:solidFill>
              <w14:schemeClr w14:val="tx1"/>
            </w14:solidFill>
          </w14:textFill>
        </w:rPr>
        <w:t>机构</w:t>
      </w:r>
      <w:r>
        <w:rPr>
          <w:rFonts w:hint="eastAsia" w:ascii="仿宋_GB2312" w:hAnsi="仿宋_GB2312" w:eastAsia="仿宋_GB2312" w:cs="仿宋_GB2312"/>
          <w:bCs/>
          <w:color w:val="000000" w:themeColor="text1"/>
          <w:kern w:val="0"/>
          <w:sz w:val="28"/>
          <w:szCs w:val="31"/>
          <w14:textFill>
            <w14:solidFill>
              <w14:schemeClr w14:val="tx1"/>
            </w14:solidFill>
          </w14:textFill>
        </w:rPr>
        <w:t>招选。</w:t>
      </w:r>
    </w:p>
    <w:p>
      <w:pPr>
        <w:spacing w:before="156" w:beforeLines="50" w:after="156" w:afterLines="50" w:line="700" w:lineRule="exact"/>
        <w:ind w:firstLine="562" w:firstLineChars="200"/>
        <w:rPr>
          <w:rFonts w:ascii="仿宋_GB2312" w:hAnsi="仿宋_GB2312" w:eastAsia="仿宋_GB2312" w:cs="仿宋_GB2312"/>
          <w:b/>
          <w:color w:val="000000" w:themeColor="text1"/>
          <w:kern w:val="0"/>
          <w:sz w:val="28"/>
          <w:szCs w:val="31"/>
          <w14:textFill>
            <w14:solidFill>
              <w14:schemeClr w14:val="tx1"/>
            </w14:solidFill>
          </w14:textFill>
        </w:rPr>
      </w:pPr>
      <w:r>
        <w:rPr>
          <w:rFonts w:hint="eastAsia" w:ascii="仿宋_GB2312" w:hAnsi="仿宋_GB2312" w:eastAsia="仿宋_GB2312" w:cs="仿宋_GB2312"/>
          <w:b/>
          <w:color w:val="000000" w:themeColor="text1"/>
          <w:kern w:val="0"/>
          <w:sz w:val="28"/>
          <w:szCs w:val="31"/>
          <w14:textFill>
            <w14:solidFill>
              <w14:schemeClr w14:val="tx1"/>
            </w14:solidFill>
          </w14:textFill>
        </w:rPr>
        <w:t>第四条 工作内容</w:t>
      </w:r>
    </w:p>
    <w:p>
      <w:pPr>
        <w:spacing w:before="156" w:beforeLines="50" w:after="156" w:afterLines="50" w:line="700" w:lineRule="exact"/>
        <w:ind w:firstLine="560" w:firstLineChars="200"/>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依据《惠州市惠阳区旧城镇旧厂房旧村庄改造暂行办法》（惠阳府办〔2022〕4号）等相关规定，</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前期工作包含标图入库申请材料、征集原权利人意愿及权属调查、编制片区统筹方案（单元规划方案）、改造单元（项目）范围划定方案及可行性研究报告、土壤环境调查报告、“三旧”改造项目尽职调查等。</w:t>
      </w:r>
    </w:p>
    <w:p>
      <w:pPr>
        <w:spacing w:before="156" w:beforeLines="50" w:after="156" w:afterLines="50"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前期服务机构</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应包含</w:t>
      </w:r>
      <w:r>
        <w:rPr>
          <w:rFonts w:hint="eastAsia" w:ascii="仿宋_GB2312" w:hAnsi="仿宋_GB2312" w:eastAsia="仿宋_GB2312" w:cs="仿宋_GB2312"/>
          <w:bCs/>
          <w:color w:val="000000" w:themeColor="text1"/>
          <w:kern w:val="0"/>
          <w:sz w:val="28"/>
          <w:szCs w:val="31"/>
          <w14:textFill>
            <w14:solidFill>
              <w14:schemeClr w14:val="tx1"/>
            </w14:solidFill>
          </w14:textFill>
        </w:rPr>
        <w:t>由技术团队、法律团队、经济团队三部分人员或机构组成，其主要负责内容如下：</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（一）开展改造意愿调查；</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（二）对现状土地、房屋、公共服务设施、人口等基础数据调查；</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（三）协助镇人民政府（街道办事处）初步划定改造（更新）单元范围；</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（四）协助镇人民政府（街道办事处）完成改造单元（项目）可行性研究报告和改造实施方案的编制</w:t>
      </w:r>
      <w:r>
        <w:rPr>
          <w:rFonts w:ascii="仿宋_GB2312" w:hAnsi="仿宋_GB2312" w:eastAsia="仿宋_GB2312" w:cs="仿宋_GB2312"/>
          <w:bCs/>
          <w:color w:val="000000" w:themeColor="text1"/>
          <w:kern w:val="0"/>
          <w:sz w:val="28"/>
          <w:szCs w:val="31"/>
          <w14:textFill>
            <w14:solidFill>
              <w14:schemeClr w14:val="tx1"/>
            </w14:solidFill>
          </w14:textFill>
        </w:rPr>
        <w:t xml:space="preserve">； </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（五）协助镇人民政府（街道办事处）完成社会稳定风险评估；</w:t>
      </w:r>
    </w:p>
    <w:p>
      <w:pPr>
        <w:widowControl/>
        <w:spacing w:line="700" w:lineRule="exact"/>
        <w:ind w:firstLine="560" w:firstLineChars="200"/>
        <w:rPr>
          <w:rFonts w:hint="eastAsia"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（六）编制</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申报</w:t>
      </w:r>
      <w:r>
        <w:rPr>
          <w:rFonts w:hint="eastAsia" w:ascii="仿宋_GB2312" w:hAnsi="仿宋_GB2312" w:eastAsia="仿宋_GB2312" w:cs="仿宋_GB2312"/>
          <w:bCs/>
          <w:color w:val="000000" w:themeColor="text1"/>
          <w:kern w:val="0"/>
          <w:sz w:val="28"/>
          <w:szCs w:val="31"/>
          <w14:textFill>
            <w14:solidFill>
              <w14:schemeClr w14:val="tx1"/>
            </w14:solidFill>
          </w14:textFill>
        </w:rPr>
        <w:t>改造（更新）单元计划</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材料</w:t>
      </w:r>
      <w:r>
        <w:rPr>
          <w:rFonts w:hint="eastAsia" w:ascii="仿宋_GB2312" w:hAnsi="仿宋_GB2312" w:eastAsia="仿宋_GB2312" w:cs="仿宋_GB2312"/>
          <w:bCs/>
          <w:color w:val="000000" w:themeColor="text1"/>
          <w:kern w:val="0"/>
          <w:sz w:val="28"/>
          <w:szCs w:val="31"/>
          <w14:textFill>
            <w14:solidFill>
              <w14:schemeClr w14:val="tx1"/>
            </w14:solidFill>
          </w14:textFill>
        </w:rPr>
        <w:t>；</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（七）</w:t>
      </w:r>
      <w:r>
        <w:rPr>
          <w:rFonts w:ascii="仿宋_GB2312" w:hAnsi="仿宋_GB2312" w:eastAsia="仿宋_GB2312" w:cs="仿宋_GB2312"/>
          <w:bCs/>
          <w:color w:val="000000" w:themeColor="text1"/>
          <w:kern w:val="0"/>
          <w:sz w:val="28"/>
          <w:szCs w:val="31"/>
          <w14:textFill>
            <w14:solidFill>
              <w14:schemeClr w14:val="tx1"/>
            </w14:solidFill>
          </w14:textFill>
        </w:rPr>
        <w:t>编</w:t>
      </w:r>
      <w:r>
        <w:rPr>
          <w:rFonts w:hint="eastAsia" w:ascii="仿宋_GB2312" w:hAnsi="仿宋_GB2312" w:eastAsia="仿宋_GB2312" w:cs="仿宋_GB2312"/>
          <w:bCs/>
          <w:color w:val="000000" w:themeColor="text1"/>
          <w:kern w:val="0"/>
          <w:sz w:val="28"/>
          <w:szCs w:val="31"/>
          <w14:textFill>
            <w14:solidFill>
              <w14:schemeClr w14:val="tx1"/>
            </w14:solidFill>
          </w14:textFill>
        </w:rPr>
        <w:t>制报送改造单元规划（调整）</w:t>
      </w:r>
      <w:r>
        <w:rPr>
          <w:rFonts w:ascii="仿宋_GB2312" w:hAnsi="仿宋_GB2312" w:eastAsia="仿宋_GB2312" w:cs="仿宋_GB2312"/>
          <w:bCs/>
          <w:color w:val="000000" w:themeColor="text1"/>
          <w:kern w:val="0"/>
          <w:sz w:val="28"/>
          <w:szCs w:val="31"/>
          <w14:textFill>
            <w14:solidFill>
              <w14:schemeClr w14:val="tx1"/>
            </w14:solidFill>
          </w14:textFill>
        </w:rPr>
        <w:t>方案</w:t>
      </w:r>
      <w:r>
        <w:rPr>
          <w:rFonts w:hint="eastAsia" w:ascii="仿宋_GB2312" w:hAnsi="仿宋_GB2312" w:eastAsia="仿宋_GB2312" w:cs="仿宋_GB2312"/>
          <w:bCs/>
          <w:color w:val="000000" w:themeColor="text1"/>
          <w:kern w:val="0"/>
          <w:sz w:val="28"/>
          <w:szCs w:val="31"/>
          <w14:textFill>
            <w14:solidFill>
              <w14:schemeClr w14:val="tx1"/>
            </w14:solidFill>
          </w14:textFill>
        </w:rPr>
        <w:t>；</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（八）协助镇人民政府（街道办事处）完成基础数据核实、权属调查及确认；</w:t>
      </w:r>
    </w:p>
    <w:p>
      <w:pPr>
        <w:widowControl/>
        <w:spacing w:line="700" w:lineRule="exact"/>
        <w:ind w:firstLine="560" w:firstLineChars="200"/>
        <w:rPr>
          <w:rFonts w:hint="eastAsia"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（九）</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编制历史文化资源调查评估报告（</w:t>
      </w:r>
      <w:r>
        <w:rPr>
          <w:rFonts w:hint="eastAsia" w:ascii="仿宋_GB2312" w:hAnsi="仿宋_GB2312" w:eastAsia="仿宋_GB2312" w:cs="仿宋_GB2312"/>
          <w:bCs/>
          <w:color w:val="000000" w:themeColor="text1"/>
          <w:kern w:val="0"/>
          <w:sz w:val="28"/>
          <w:szCs w:val="31"/>
          <w14:textFill>
            <w14:solidFill>
              <w14:schemeClr w14:val="tx1"/>
            </w14:solidFill>
          </w14:textFill>
        </w:rPr>
        <w:t>涉及古树名木、大拆大建等事项</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（十）协助编制公开交易（或挂牌招商）方案；</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（十一）经镇人民政府（街道办事处）确认，根据项目实际需要开展的其他工作；</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对遴选实施主体采取政府组织挂牌招标方式，或者采取村企合作（后期选定）方式的，前期工作还应包括：</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（十二）协助镇人民政府（街道办事处）申报单元规划编制需求；</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（十三）开展有关土地房产价值评估；</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（十四）涉及完善用地手续的，编制完善建设用地手续、历史征地手续、集体经济组织自愿申请将集体建设用地转为国有土地方案等；</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（十五）拟定搬（拆）迁补偿方案（含奖励标准）；</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（十六）测算政府应收地价款，梳理集体经济组织收益情况。</w:t>
      </w:r>
    </w:p>
    <w:p>
      <w:pPr>
        <w:widowControl/>
        <w:spacing w:line="700" w:lineRule="exact"/>
        <w:ind w:firstLine="560" w:firstLineChars="200"/>
        <w:rPr>
          <w:rFonts w:hint="eastAsia"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（十</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七</w:t>
      </w:r>
      <w:r>
        <w:rPr>
          <w:rFonts w:hint="eastAsia" w:ascii="仿宋_GB2312" w:hAnsi="仿宋_GB2312" w:eastAsia="仿宋_GB2312" w:cs="仿宋_GB2312"/>
          <w:bCs/>
          <w:color w:val="000000" w:themeColor="text1"/>
          <w:kern w:val="0"/>
          <w:sz w:val="28"/>
          <w:szCs w:val="31"/>
          <w14:textFill>
            <w14:solidFill>
              <w14:schemeClr w14:val="tx1"/>
            </w14:solidFill>
          </w14:textFill>
        </w:rPr>
        <w:t>）前期服务机构负责项目改造相关的公示、公告、公证等程序性工作。</w:t>
      </w:r>
    </w:p>
    <w:p>
      <w:pPr>
        <w:pStyle w:val="3"/>
        <w:keepNext w:val="0"/>
        <w:keepLines w:val="0"/>
        <w:widowControl/>
        <w:suppressLineNumbers w:val="0"/>
        <w:spacing w:before="0" w:beforeAutospacing="0" w:after="0" w:afterAutospacing="0"/>
        <w:ind w:left="0" w:right="0" w:firstLine="560" w:firstLineChars="200"/>
        <w:rPr>
          <w:rFonts w:hint="eastAsia" w:ascii="仿宋_GB2312" w:hAnsi="仿宋_GB2312" w:eastAsia="仿宋_GB2312" w:cs="仿宋_GB2312"/>
          <w:b w:val="0"/>
          <w:bCs w:val="0"/>
          <w:i w:val="0"/>
          <w:iCs w:val="0"/>
          <w:caps w:val="0"/>
          <w:color w:val="000000" w:themeColor="text1"/>
          <w:spacing w:val="0"/>
          <w:kern w:val="0"/>
          <w:sz w:val="28"/>
          <w:szCs w:val="31"/>
          <w14:textFill>
            <w14:solidFill>
              <w14:schemeClr w14:val="tx1"/>
            </w14:solidFill>
          </w14:textFill>
        </w:rPr>
      </w:pPr>
      <w:r>
        <w:rPr>
          <w:rFonts w:hint="eastAsia" w:ascii="仿宋_GB2312" w:hAnsi="仿宋_GB2312" w:eastAsia="仿宋_GB2312" w:cs="仿宋_GB2312"/>
          <w:b w:val="0"/>
          <w:bCs w:val="0"/>
          <w:color w:val="000000" w:themeColor="text1"/>
          <w:kern w:val="0"/>
          <w:sz w:val="28"/>
          <w:szCs w:val="31"/>
          <w:lang w:eastAsia="zh-CN"/>
          <w14:textFill>
            <w14:solidFill>
              <w14:schemeClr w14:val="tx1"/>
            </w14:solidFill>
          </w14:textFill>
        </w:rPr>
        <w:t>“三旧”改造用地</w:t>
      </w:r>
      <w:r>
        <w:rPr>
          <w:rFonts w:ascii="仿宋_GB2312" w:hAnsi="仿宋_GB2312" w:eastAsia="仿宋_GB2312" w:cs="仿宋_GB2312"/>
          <w:b w:val="0"/>
          <w:bCs w:val="0"/>
          <w:i w:val="0"/>
          <w:iCs w:val="0"/>
          <w:caps w:val="0"/>
          <w:color w:val="000000" w:themeColor="text1"/>
          <w:spacing w:val="0"/>
          <w:kern w:val="0"/>
          <w:sz w:val="28"/>
          <w:szCs w:val="31"/>
          <w14:textFill>
            <w14:solidFill>
              <w14:schemeClr w14:val="tx1"/>
            </w14:solidFill>
          </w14:textFill>
        </w:rPr>
        <w:t>用途变更为住宅、公共管理与公共服务用地的，变更前应当按照</w:t>
      </w:r>
      <w:r>
        <w:rPr>
          <w:rFonts w:hint="eastAsia" w:ascii="仿宋_GB2312" w:hAnsi="仿宋_GB2312" w:eastAsia="仿宋_GB2312" w:cs="仿宋_GB2312"/>
          <w:b w:val="0"/>
          <w:bCs w:val="0"/>
          <w:i w:val="0"/>
          <w:iCs w:val="0"/>
          <w:caps w:val="0"/>
          <w:color w:val="000000" w:themeColor="text1"/>
          <w:spacing w:val="0"/>
          <w:kern w:val="0"/>
          <w:sz w:val="28"/>
          <w:szCs w:val="31"/>
          <w14:textFill>
            <w14:solidFill>
              <w14:schemeClr w14:val="tx1"/>
            </w14:solidFill>
          </w14:textFill>
        </w:rPr>
        <w:t>《中华人民共和国土壤污染防治法》</w:t>
      </w:r>
      <w:r>
        <w:rPr>
          <w:rFonts w:ascii="仿宋_GB2312" w:hAnsi="仿宋_GB2312" w:eastAsia="仿宋_GB2312" w:cs="仿宋_GB2312"/>
          <w:b w:val="0"/>
          <w:bCs w:val="0"/>
          <w:i w:val="0"/>
          <w:iCs w:val="0"/>
          <w:caps w:val="0"/>
          <w:color w:val="000000" w:themeColor="text1"/>
          <w:spacing w:val="0"/>
          <w:kern w:val="0"/>
          <w:sz w:val="28"/>
          <w:szCs w:val="31"/>
          <w14:textFill>
            <w14:solidFill>
              <w14:schemeClr w14:val="tx1"/>
            </w14:solidFill>
          </w14:textFill>
        </w:rPr>
        <w:t>规定进行土壤污染状况调查</w:t>
      </w:r>
      <w:r>
        <w:rPr>
          <w:rFonts w:hint="eastAsia" w:ascii="仿宋_GB2312" w:hAnsi="仿宋_GB2312" w:eastAsia="仿宋_GB2312" w:cs="仿宋_GB2312"/>
          <w:b w:val="0"/>
          <w:bCs w:val="0"/>
          <w:i w:val="0"/>
          <w:iCs w:val="0"/>
          <w:caps w:val="0"/>
          <w:color w:val="000000" w:themeColor="text1"/>
          <w:spacing w:val="0"/>
          <w:kern w:val="0"/>
          <w:sz w:val="28"/>
          <w:szCs w:val="31"/>
          <w:lang w:eastAsia="zh-CN"/>
          <w14:textFill>
            <w14:solidFill>
              <w14:schemeClr w14:val="tx1"/>
            </w14:solidFill>
          </w14:textFill>
        </w:rPr>
        <w:t>，</w:t>
      </w:r>
      <w:r>
        <w:rPr>
          <w:rFonts w:ascii="仿宋_GB2312" w:hAnsi="仿宋_GB2312" w:eastAsia="仿宋_GB2312" w:cs="仿宋_GB2312"/>
          <w:b w:val="0"/>
          <w:bCs w:val="0"/>
          <w:i w:val="0"/>
          <w:iCs w:val="0"/>
          <w:caps w:val="0"/>
          <w:color w:val="000000" w:themeColor="text1"/>
          <w:spacing w:val="0"/>
          <w:kern w:val="0"/>
          <w:sz w:val="28"/>
          <w:szCs w:val="31"/>
          <w14:textFill>
            <w14:solidFill>
              <w14:schemeClr w14:val="tx1"/>
            </w14:solidFill>
          </w14:textFill>
        </w:rPr>
        <w:t>报</w:t>
      </w:r>
      <w:r>
        <w:rPr>
          <w:rFonts w:hint="eastAsia" w:ascii="仿宋_GB2312" w:hAnsi="仿宋_GB2312" w:eastAsia="仿宋_GB2312" w:cs="仿宋_GB2312"/>
          <w:b w:val="0"/>
          <w:bCs w:val="0"/>
          <w:i w:val="0"/>
          <w:iCs w:val="0"/>
          <w:caps w:val="0"/>
          <w:color w:val="000000" w:themeColor="text1"/>
          <w:spacing w:val="0"/>
          <w:kern w:val="0"/>
          <w:sz w:val="28"/>
          <w:szCs w:val="31"/>
          <w:lang w:eastAsia="zh-CN"/>
          <w14:textFill>
            <w14:solidFill>
              <w14:schemeClr w14:val="tx1"/>
            </w14:solidFill>
          </w14:textFill>
        </w:rPr>
        <w:t>惠州市</w:t>
      </w:r>
      <w:r>
        <w:rPr>
          <w:rFonts w:ascii="仿宋_GB2312" w:hAnsi="仿宋_GB2312" w:eastAsia="仿宋_GB2312" w:cs="仿宋_GB2312"/>
          <w:b w:val="0"/>
          <w:bCs w:val="0"/>
          <w:i w:val="0"/>
          <w:iCs w:val="0"/>
          <w:caps w:val="0"/>
          <w:color w:val="000000" w:themeColor="text1"/>
          <w:spacing w:val="0"/>
          <w:kern w:val="0"/>
          <w:sz w:val="28"/>
          <w:szCs w:val="31"/>
          <w14:textFill>
            <w14:solidFill>
              <w14:schemeClr w14:val="tx1"/>
            </w14:solidFill>
          </w14:textFill>
        </w:rPr>
        <w:t>生态环境</w:t>
      </w:r>
      <w:r>
        <w:rPr>
          <w:rFonts w:hint="eastAsia" w:ascii="仿宋_GB2312" w:hAnsi="仿宋_GB2312" w:eastAsia="仿宋_GB2312" w:cs="仿宋_GB2312"/>
          <w:b w:val="0"/>
          <w:bCs w:val="0"/>
          <w:i w:val="0"/>
          <w:iCs w:val="0"/>
          <w:caps w:val="0"/>
          <w:color w:val="000000" w:themeColor="text1"/>
          <w:spacing w:val="0"/>
          <w:kern w:val="0"/>
          <w:sz w:val="28"/>
          <w:szCs w:val="31"/>
          <w:lang w:eastAsia="zh-CN"/>
          <w14:textFill>
            <w14:solidFill>
              <w14:schemeClr w14:val="tx1"/>
            </w14:solidFill>
          </w14:textFill>
        </w:rPr>
        <w:t>局惠阳分局</w:t>
      </w:r>
      <w:r>
        <w:rPr>
          <w:rFonts w:ascii="仿宋_GB2312" w:hAnsi="仿宋_GB2312" w:eastAsia="仿宋_GB2312" w:cs="仿宋_GB2312"/>
          <w:b w:val="0"/>
          <w:bCs w:val="0"/>
          <w:i w:val="0"/>
          <w:iCs w:val="0"/>
          <w:caps w:val="0"/>
          <w:color w:val="000000" w:themeColor="text1"/>
          <w:spacing w:val="0"/>
          <w:kern w:val="0"/>
          <w:sz w:val="28"/>
          <w:szCs w:val="31"/>
          <w14:textFill>
            <w14:solidFill>
              <w14:schemeClr w14:val="tx1"/>
            </w14:solidFill>
          </w14:textFill>
        </w:rPr>
        <w:t>会同</w:t>
      </w:r>
      <w:r>
        <w:rPr>
          <w:rFonts w:hint="eastAsia" w:ascii="仿宋_GB2312" w:hAnsi="仿宋_GB2312" w:eastAsia="仿宋_GB2312" w:cs="仿宋_GB2312"/>
          <w:b w:val="0"/>
          <w:bCs w:val="0"/>
          <w:i w:val="0"/>
          <w:iCs w:val="0"/>
          <w:caps w:val="0"/>
          <w:color w:val="000000" w:themeColor="text1"/>
          <w:spacing w:val="0"/>
          <w:kern w:val="0"/>
          <w:sz w:val="28"/>
          <w:szCs w:val="31"/>
          <w:lang w:eastAsia="zh-CN"/>
          <w14:textFill>
            <w14:solidFill>
              <w14:schemeClr w14:val="tx1"/>
            </w14:solidFill>
          </w14:textFill>
        </w:rPr>
        <w:t>惠阳区</w:t>
      </w:r>
      <w:r>
        <w:rPr>
          <w:rFonts w:ascii="仿宋_GB2312" w:hAnsi="仿宋_GB2312" w:eastAsia="仿宋_GB2312" w:cs="仿宋_GB2312"/>
          <w:b w:val="0"/>
          <w:bCs w:val="0"/>
          <w:i w:val="0"/>
          <w:iCs w:val="0"/>
          <w:caps w:val="0"/>
          <w:color w:val="000000" w:themeColor="text1"/>
          <w:spacing w:val="0"/>
          <w:kern w:val="0"/>
          <w:sz w:val="28"/>
          <w:szCs w:val="31"/>
          <w14:textFill>
            <w14:solidFill>
              <w14:schemeClr w14:val="tx1"/>
            </w14:solidFill>
          </w14:textFill>
        </w:rPr>
        <w:t>自然资源</w:t>
      </w:r>
      <w:r>
        <w:rPr>
          <w:rFonts w:hint="eastAsia" w:ascii="仿宋_GB2312" w:hAnsi="仿宋_GB2312" w:eastAsia="仿宋_GB2312" w:cs="仿宋_GB2312"/>
          <w:b w:val="0"/>
          <w:bCs w:val="0"/>
          <w:i w:val="0"/>
          <w:iCs w:val="0"/>
          <w:caps w:val="0"/>
          <w:color w:val="000000" w:themeColor="text1"/>
          <w:spacing w:val="0"/>
          <w:kern w:val="0"/>
          <w:sz w:val="28"/>
          <w:szCs w:val="31"/>
          <w:lang w:eastAsia="zh-CN"/>
          <w14:textFill>
            <w14:solidFill>
              <w14:schemeClr w14:val="tx1"/>
            </w14:solidFill>
          </w14:textFill>
        </w:rPr>
        <w:t>局</w:t>
      </w:r>
      <w:r>
        <w:rPr>
          <w:rFonts w:ascii="仿宋_GB2312" w:hAnsi="仿宋_GB2312" w:eastAsia="仿宋_GB2312" w:cs="仿宋_GB2312"/>
          <w:b w:val="0"/>
          <w:bCs w:val="0"/>
          <w:i w:val="0"/>
          <w:iCs w:val="0"/>
          <w:caps w:val="0"/>
          <w:color w:val="000000" w:themeColor="text1"/>
          <w:spacing w:val="0"/>
          <w:kern w:val="0"/>
          <w:sz w:val="28"/>
          <w:szCs w:val="31"/>
          <w14:textFill>
            <w14:solidFill>
              <w14:schemeClr w14:val="tx1"/>
            </w14:solidFill>
          </w14:textFill>
        </w:rPr>
        <w:t>评审。</w:t>
      </w:r>
    </w:p>
    <w:p>
      <w:pPr>
        <w:pStyle w:val="3"/>
        <w:widowControl/>
        <w:numPr>
          <w:ilvl w:val="-1"/>
          <w:numId w:val="0"/>
        </w:numPr>
        <w:spacing w:line="700" w:lineRule="exact"/>
        <w:ind w:firstLine="560" w:firstLineChars="200"/>
        <w:jc w:val="left"/>
        <w:outlineLvl w:val="0"/>
        <w:rPr>
          <w:rFonts w:hint="eastAsia" w:ascii="仿宋_GB2312" w:hAnsi="仿宋_GB2312" w:eastAsia="仿宋_GB2312" w:cs="仿宋_GB2312"/>
          <w:b w:val="0"/>
          <w:bCs w:val="0"/>
          <w:color w:val="000000" w:themeColor="text1"/>
          <w:kern w:val="0"/>
          <w:sz w:val="28"/>
          <w:szCs w:val="31"/>
          <w:lang w:bidi="ar"/>
          <w14:textFill>
            <w14:solidFill>
              <w14:schemeClr w14:val="tx1"/>
            </w14:solidFill>
          </w14:textFill>
        </w:rPr>
      </w:pPr>
      <w:r>
        <w:rPr>
          <w:rFonts w:hint="eastAsia" w:ascii="仿宋_GB2312" w:hAnsi="仿宋_GB2312" w:eastAsia="仿宋_GB2312" w:cs="仿宋_GB2312"/>
          <w:b w:val="0"/>
          <w:bCs w:val="0"/>
          <w:color w:val="000000" w:themeColor="text1"/>
          <w:kern w:val="0"/>
          <w:sz w:val="28"/>
          <w:szCs w:val="31"/>
          <w:rtl w:val="0"/>
          <w:lang w:val="en-US" w:eastAsia="zh-CN" w:bidi="ar"/>
          <w14:textFill>
            <w14:solidFill>
              <w14:schemeClr w14:val="tx1"/>
            </w14:solidFill>
          </w14:textFill>
        </w:rPr>
        <w:t>惠阳区行政区域内“三旧”改造项目，除微改造及国有用地下“工改工”类原权利人自行改造的项目外，需政府审批认定改造主体的，由</w:t>
      </w:r>
      <w:r>
        <w:rPr>
          <w:rFonts w:hint="eastAsia" w:ascii="仿宋_GB2312" w:hAnsi="仿宋_GB2312" w:eastAsia="仿宋_GB2312" w:cs="仿宋_GB2312"/>
          <w:b w:val="0"/>
          <w:bCs w:val="0"/>
          <w:color w:val="000000" w:themeColor="text1"/>
          <w:kern w:val="0"/>
          <w:sz w:val="28"/>
          <w:szCs w:val="31"/>
          <w:lang w:val="en-US" w:eastAsia="zh-CN" w:bidi="ar"/>
          <w14:textFill>
            <w14:solidFill>
              <w14:schemeClr w14:val="tx1"/>
            </w14:solidFill>
          </w14:textFill>
        </w:rPr>
        <w:t>区自然资源局</w:t>
      </w:r>
      <w:r>
        <w:rPr>
          <w:rFonts w:ascii="仿宋_GB2312" w:hAnsi="仿宋_GB2312" w:eastAsia="仿宋_GB2312" w:cs="仿宋_GB2312"/>
          <w:b w:val="0"/>
          <w:bCs w:val="0"/>
          <w:color w:val="000000" w:themeColor="text1"/>
          <w:kern w:val="0"/>
          <w:sz w:val="28"/>
          <w:szCs w:val="31"/>
          <w:lang w:val="en-US" w:eastAsia="zh-CN" w:bidi="ar"/>
          <w14:textFill>
            <w14:solidFill>
              <w14:schemeClr w14:val="tx1"/>
            </w14:solidFill>
          </w14:textFill>
        </w:rPr>
        <w:t>负责</w:t>
      </w:r>
      <w:r>
        <w:rPr>
          <w:rFonts w:hint="eastAsia" w:ascii="仿宋_GB2312" w:hAnsi="仿宋_GB2312" w:eastAsia="仿宋_GB2312" w:cs="仿宋_GB2312"/>
          <w:b w:val="0"/>
          <w:bCs w:val="0"/>
          <w:color w:val="000000" w:themeColor="text1"/>
          <w:kern w:val="0"/>
          <w:sz w:val="28"/>
          <w:szCs w:val="31"/>
          <w:lang w:val="en-US" w:eastAsia="zh-CN" w:bidi="ar"/>
          <w14:textFill>
            <w14:solidFill>
              <w14:schemeClr w14:val="tx1"/>
            </w14:solidFill>
          </w14:textFill>
        </w:rPr>
        <w:t>委托</w:t>
      </w:r>
      <w:r>
        <w:rPr>
          <w:rFonts w:ascii="仿宋_GB2312" w:hAnsi="仿宋_GB2312" w:eastAsia="仿宋_GB2312" w:cs="仿宋_GB2312"/>
          <w:b w:val="0"/>
          <w:bCs w:val="0"/>
          <w:color w:val="000000" w:themeColor="text1"/>
          <w:kern w:val="0"/>
          <w:sz w:val="28"/>
          <w:szCs w:val="31"/>
          <w:lang w:val="en-US" w:eastAsia="zh-CN" w:bidi="ar"/>
          <w14:textFill>
            <w14:solidFill>
              <w14:schemeClr w14:val="tx1"/>
            </w14:solidFill>
          </w14:textFill>
        </w:rPr>
        <w:t>开展</w:t>
      </w:r>
      <w:r>
        <w:rPr>
          <w:rFonts w:hint="eastAsia" w:ascii="仿宋_GB2312" w:hAnsi="仿宋_GB2312" w:eastAsia="仿宋_GB2312" w:cs="仿宋_GB2312"/>
          <w:b w:val="0"/>
          <w:bCs w:val="0"/>
          <w:color w:val="000000" w:themeColor="text1"/>
          <w:kern w:val="0"/>
          <w:sz w:val="28"/>
          <w:szCs w:val="31"/>
          <w:lang w:val="en-US" w:eastAsia="zh-CN" w:bidi="ar"/>
          <w14:textFill>
            <w14:solidFill>
              <w14:schemeClr w14:val="tx1"/>
            </w14:solidFill>
          </w14:textFill>
        </w:rPr>
        <w:t>尽职调查</w:t>
      </w:r>
      <w:r>
        <w:rPr>
          <w:rFonts w:ascii="仿宋_GB2312" w:hAnsi="仿宋_GB2312" w:eastAsia="仿宋_GB2312" w:cs="仿宋_GB2312"/>
          <w:b w:val="0"/>
          <w:bCs w:val="0"/>
          <w:color w:val="000000" w:themeColor="text1"/>
          <w:kern w:val="0"/>
          <w:sz w:val="28"/>
          <w:szCs w:val="31"/>
          <w:lang w:val="en-US" w:eastAsia="zh-CN" w:bidi="ar"/>
          <w14:textFill>
            <w14:solidFill>
              <w14:schemeClr w14:val="tx1"/>
            </w14:solidFill>
          </w14:textFill>
        </w:rPr>
        <w:t>工作</w:t>
      </w:r>
      <w:r>
        <w:rPr>
          <w:rFonts w:hint="eastAsia" w:ascii="仿宋_GB2312" w:hAnsi="仿宋_GB2312" w:eastAsia="仿宋_GB2312" w:cs="仿宋_GB2312"/>
          <w:b w:val="0"/>
          <w:bCs w:val="0"/>
          <w:color w:val="000000" w:themeColor="text1"/>
          <w:kern w:val="0"/>
          <w:sz w:val="28"/>
          <w:szCs w:val="31"/>
          <w:lang w:val="en-US" w:eastAsia="zh-CN" w:bidi="ar"/>
          <w14:textFill>
            <w14:solidFill>
              <w14:schemeClr w14:val="tx1"/>
            </w14:solidFill>
          </w14:textFill>
        </w:rPr>
        <w:t>。尽职调查</w:t>
      </w:r>
      <w:r>
        <w:rPr>
          <w:rFonts w:hint="eastAsia" w:ascii="仿宋_GB2312" w:hAnsi="仿宋_GB2312" w:eastAsia="仿宋_GB2312" w:cs="仿宋_GB2312"/>
          <w:b w:val="0"/>
          <w:bCs w:val="0"/>
          <w:color w:val="000000" w:themeColor="text1"/>
          <w:kern w:val="0"/>
          <w:sz w:val="28"/>
          <w:szCs w:val="31"/>
          <w:rtl w:val="0"/>
          <w:lang w:val="en-US" w:eastAsia="zh-CN" w:bidi="ar"/>
          <w14:textFill>
            <w14:solidFill>
              <w14:schemeClr w14:val="tx1"/>
            </w14:solidFill>
          </w14:textFill>
        </w:rPr>
        <w:t>需由与申报改造（单元）项目无关的第三方律师事务所、土地</w:t>
      </w:r>
      <w:r>
        <w:rPr>
          <w:rFonts w:hint="eastAsia" w:ascii="仿宋_GB2312" w:hAnsi="仿宋_GB2312" w:eastAsia="仿宋_GB2312" w:cs="仿宋_GB2312"/>
          <w:b w:val="0"/>
          <w:bCs w:val="0"/>
          <w:color w:val="000000" w:themeColor="text1"/>
          <w:kern w:val="0"/>
          <w:sz w:val="28"/>
          <w:szCs w:val="31"/>
          <w14:textFill>
            <w14:solidFill>
              <w14:schemeClr w14:val="tx1"/>
            </w14:solidFill>
          </w14:textFill>
        </w:rPr>
        <w:t>房地产估价机构</w:t>
      </w:r>
      <w:r>
        <w:rPr>
          <w:rFonts w:hint="eastAsia" w:ascii="仿宋_GB2312" w:hAnsi="仿宋_GB2312" w:eastAsia="仿宋_GB2312" w:cs="仿宋_GB2312"/>
          <w:b w:val="0"/>
          <w:bCs w:val="0"/>
          <w:color w:val="000000" w:themeColor="text1"/>
          <w:kern w:val="0"/>
          <w:sz w:val="28"/>
          <w:szCs w:val="31"/>
          <w:rtl w:val="0"/>
          <w:lang w:val="en-US" w:eastAsia="zh-CN" w:bidi="ar"/>
          <w14:textFill>
            <w14:solidFill>
              <w14:schemeClr w14:val="tx1"/>
            </w14:solidFill>
          </w14:textFill>
        </w:rPr>
        <w:t>、会计师事务所三类专业团队组成联合体进行审查，从不同维度对目标企业、目标项目进行一次全面的“体检”</w:t>
      </w:r>
      <w:r>
        <w:rPr>
          <w:rFonts w:hint="eastAsia" w:ascii="仿宋_GB2312" w:hAnsi="仿宋_GB2312" w:eastAsia="仿宋_GB2312" w:cs="仿宋_GB2312"/>
          <w:b w:val="0"/>
          <w:bCs w:val="0"/>
          <w:color w:val="000000" w:themeColor="text1"/>
          <w:kern w:val="0"/>
          <w:sz w:val="28"/>
          <w:szCs w:val="31"/>
          <w:lang w:eastAsia="zh-CN" w:bidi="ar"/>
          <w14:textFill>
            <w14:solidFill>
              <w14:schemeClr w14:val="tx1"/>
            </w14:solidFill>
          </w14:textFill>
        </w:rPr>
        <w:t>。</w:t>
      </w:r>
      <w:r>
        <w:rPr>
          <w:rFonts w:hint="eastAsia" w:ascii="仿宋_GB2312" w:hAnsi="仿宋_GB2312" w:eastAsia="仿宋_GB2312" w:cs="仿宋_GB2312"/>
          <w:b w:val="0"/>
          <w:bCs w:val="0"/>
          <w:color w:val="000000" w:themeColor="text1"/>
          <w:kern w:val="0"/>
          <w:sz w:val="28"/>
          <w:szCs w:val="31"/>
          <w:lang w:bidi="ar"/>
          <w14:textFill>
            <w14:solidFill>
              <w14:schemeClr w14:val="tx1"/>
            </w14:solidFill>
          </w14:textFill>
        </w:rPr>
        <w:t>尽职调查包含</w:t>
      </w:r>
      <w:r>
        <w:rPr>
          <w:rFonts w:hint="eastAsia" w:ascii="仿宋_GB2312" w:hAnsi="仿宋_GB2312" w:eastAsia="仿宋_GB2312" w:cs="仿宋_GB2312"/>
          <w:b w:val="0"/>
          <w:bCs w:val="0"/>
          <w:color w:val="000000" w:themeColor="text1"/>
          <w:kern w:val="0"/>
          <w:sz w:val="28"/>
          <w:szCs w:val="31"/>
          <w:lang w:eastAsia="zh-CN" w:bidi="ar"/>
          <w14:textFill>
            <w14:solidFill>
              <w14:schemeClr w14:val="tx1"/>
            </w14:solidFill>
          </w14:textFill>
        </w:rPr>
        <w:t>前期服务机构程序及成果合规性审查</w:t>
      </w:r>
      <w:r>
        <w:rPr>
          <w:rFonts w:hint="eastAsia" w:ascii="仿宋_GB2312" w:hAnsi="仿宋_GB2312" w:eastAsia="仿宋_GB2312" w:cs="仿宋_GB2312"/>
          <w:b w:val="0"/>
          <w:bCs w:val="0"/>
          <w:color w:val="000000" w:themeColor="text1"/>
          <w:kern w:val="0"/>
          <w:sz w:val="28"/>
          <w:szCs w:val="31"/>
          <w:lang w:bidi="ar"/>
          <w14:textFill>
            <w14:solidFill>
              <w14:schemeClr w14:val="tx1"/>
            </w14:solidFill>
          </w14:textFill>
        </w:rPr>
        <w:t>、</w:t>
      </w:r>
      <w:r>
        <w:rPr>
          <w:rFonts w:hint="eastAsia" w:ascii="仿宋_GB2312" w:hAnsi="仿宋_GB2312" w:eastAsia="仿宋_GB2312" w:cs="仿宋_GB2312"/>
          <w:b w:val="0"/>
          <w:bCs w:val="0"/>
          <w:color w:val="000000" w:themeColor="text1"/>
          <w:kern w:val="0"/>
          <w:sz w:val="28"/>
          <w:szCs w:val="31"/>
          <w:lang w:eastAsia="zh-CN" w:bidi="ar"/>
          <w14:textFill>
            <w14:solidFill>
              <w14:schemeClr w14:val="tx1"/>
            </w14:solidFill>
          </w14:textFill>
        </w:rPr>
        <w:t>拟改造主体</w:t>
      </w:r>
      <w:r>
        <w:rPr>
          <w:rFonts w:hint="eastAsia" w:ascii="仿宋_GB2312" w:hAnsi="仿宋_GB2312" w:eastAsia="仿宋_GB2312" w:cs="仿宋_GB2312"/>
          <w:b w:val="0"/>
          <w:bCs w:val="0"/>
          <w:color w:val="000000" w:themeColor="text1"/>
          <w:kern w:val="0"/>
          <w:sz w:val="28"/>
          <w:szCs w:val="31"/>
          <w:lang w:bidi="ar"/>
          <w14:textFill>
            <w14:solidFill>
              <w14:schemeClr w14:val="tx1"/>
            </w14:solidFill>
          </w14:textFill>
        </w:rPr>
        <w:t>财税</w:t>
      </w:r>
      <w:r>
        <w:rPr>
          <w:rFonts w:hint="eastAsia" w:ascii="仿宋_GB2312" w:hAnsi="仿宋_GB2312" w:eastAsia="仿宋_GB2312" w:cs="仿宋_GB2312"/>
          <w:b w:val="0"/>
          <w:bCs w:val="0"/>
          <w:color w:val="000000" w:themeColor="text1"/>
          <w:kern w:val="0"/>
          <w:sz w:val="28"/>
          <w:szCs w:val="31"/>
          <w:lang w:eastAsia="zh-CN" w:bidi="ar"/>
          <w14:textFill>
            <w14:solidFill>
              <w14:schemeClr w14:val="tx1"/>
            </w14:solidFill>
          </w14:textFill>
        </w:rPr>
        <w:t>情况</w:t>
      </w:r>
      <w:r>
        <w:rPr>
          <w:rFonts w:hint="eastAsia" w:ascii="仿宋_GB2312" w:hAnsi="仿宋_GB2312" w:eastAsia="仿宋_GB2312" w:cs="仿宋_GB2312"/>
          <w:b w:val="0"/>
          <w:bCs w:val="0"/>
          <w:color w:val="000000" w:themeColor="text1"/>
          <w:kern w:val="0"/>
          <w:sz w:val="28"/>
          <w:szCs w:val="31"/>
          <w:lang w:bidi="ar"/>
          <w14:textFill>
            <w14:solidFill>
              <w14:schemeClr w14:val="tx1"/>
            </w14:solidFill>
          </w14:textFill>
        </w:rPr>
        <w:t>调查和</w:t>
      </w:r>
      <w:r>
        <w:rPr>
          <w:rFonts w:hint="eastAsia" w:ascii="仿宋_GB2312" w:hAnsi="仿宋_GB2312" w:eastAsia="仿宋_GB2312" w:cs="仿宋_GB2312"/>
          <w:b w:val="0"/>
          <w:bCs w:val="0"/>
          <w:color w:val="000000" w:themeColor="text1"/>
          <w:kern w:val="0"/>
          <w:sz w:val="28"/>
          <w:szCs w:val="31"/>
          <w:lang w:eastAsia="zh-CN" w:bidi="ar"/>
          <w14:textFill>
            <w14:solidFill>
              <w14:schemeClr w14:val="tx1"/>
            </w14:solidFill>
          </w14:textFill>
        </w:rPr>
        <w:t>拟改造主体</w:t>
      </w:r>
      <w:r>
        <w:rPr>
          <w:rFonts w:hint="eastAsia" w:ascii="仿宋_GB2312" w:hAnsi="仿宋_GB2312" w:eastAsia="仿宋_GB2312" w:cs="仿宋_GB2312"/>
          <w:b w:val="0"/>
          <w:bCs w:val="0"/>
          <w:color w:val="000000" w:themeColor="text1"/>
          <w:kern w:val="0"/>
          <w:sz w:val="28"/>
          <w:szCs w:val="31"/>
          <w:lang w:bidi="ar"/>
          <w14:textFill>
            <w14:solidFill>
              <w14:schemeClr w14:val="tx1"/>
            </w14:solidFill>
          </w14:textFill>
        </w:rPr>
        <w:t>法律</w:t>
      </w:r>
      <w:r>
        <w:rPr>
          <w:rFonts w:hint="eastAsia" w:ascii="仿宋_GB2312" w:hAnsi="仿宋_GB2312" w:eastAsia="仿宋_GB2312" w:cs="仿宋_GB2312"/>
          <w:b w:val="0"/>
          <w:bCs w:val="0"/>
          <w:color w:val="000000" w:themeColor="text1"/>
          <w:kern w:val="0"/>
          <w:sz w:val="28"/>
          <w:szCs w:val="31"/>
          <w:lang w:eastAsia="zh-CN" w:bidi="ar"/>
          <w14:textFill>
            <w14:solidFill>
              <w14:schemeClr w14:val="tx1"/>
            </w14:solidFill>
          </w14:textFill>
        </w:rPr>
        <w:t>事务</w:t>
      </w:r>
      <w:r>
        <w:rPr>
          <w:rFonts w:hint="eastAsia" w:ascii="仿宋_GB2312" w:hAnsi="仿宋_GB2312" w:eastAsia="仿宋_GB2312" w:cs="仿宋_GB2312"/>
          <w:b w:val="0"/>
          <w:bCs w:val="0"/>
          <w:color w:val="000000" w:themeColor="text1"/>
          <w:kern w:val="0"/>
          <w:sz w:val="28"/>
          <w:szCs w:val="31"/>
          <w:lang w:bidi="ar"/>
          <w14:textFill>
            <w14:solidFill>
              <w14:schemeClr w14:val="tx1"/>
            </w14:solidFill>
          </w14:textFill>
        </w:rPr>
        <w:t>尽职调查</w:t>
      </w:r>
      <w:r>
        <w:rPr>
          <w:rFonts w:hint="eastAsia" w:ascii="仿宋_GB2312" w:hAnsi="仿宋_GB2312" w:eastAsia="仿宋_GB2312" w:cs="仿宋_GB2312"/>
          <w:b w:val="0"/>
          <w:bCs w:val="0"/>
          <w:color w:val="000000" w:themeColor="text1"/>
          <w:kern w:val="0"/>
          <w:sz w:val="28"/>
          <w:szCs w:val="31"/>
          <w:lang w:eastAsia="zh-CN" w:bidi="ar"/>
          <w14:textFill>
            <w14:solidFill>
              <w14:schemeClr w14:val="tx1"/>
            </w14:solidFill>
          </w14:textFill>
        </w:rPr>
        <w:t>，</w:t>
      </w:r>
      <w:r>
        <w:rPr>
          <w:rFonts w:hint="eastAsia" w:ascii="仿宋_GB2312" w:hAnsi="仿宋_GB2312" w:eastAsia="仿宋_GB2312" w:cs="仿宋_GB2312"/>
          <w:b w:val="0"/>
          <w:bCs w:val="0"/>
          <w:color w:val="000000" w:themeColor="text1"/>
          <w:kern w:val="0"/>
          <w:sz w:val="28"/>
          <w:szCs w:val="31"/>
          <w:lang w:bidi="ar"/>
          <w14:textFill>
            <w14:solidFill>
              <w14:schemeClr w14:val="tx1"/>
            </w14:solidFill>
          </w14:textFill>
        </w:rPr>
        <w:t>发现、分析并评估项目实施意向主体存在的财务或法律问题，对是否符合开发项目的条件做出客观判断，提示项目开展的财务风险及法律风险，并提出处理建议。</w:t>
      </w:r>
    </w:p>
    <w:p>
      <w:pPr>
        <w:pStyle w:val="3"/>
        <w:widowControl/>
        <w:spacing w:line="700" w:lineRule="exact"/>
        <w:ind w:firstLine="562" w:firstLineChars="200"/>
        <w:jc w:val="left"/>
        <w:rPr>
          <w:rFonts w:ascii="仿宋_GB2312" w:hAnsi="仿宋_GB2312" w:eastAsia="仿宋_GB2312" w:cs="仿宋_GB2312"/>
          <w:b/>
          <w:color w:val="000000" w:themeColor="text1"/>
          <w:kern w:val="0"/>
          <w:sz w:val="28"/>
          <w:szCs w:val="31"/>
          <w14:textFill>
            <w14:solidFill>
              <w14:schemeClr w14:val="tx1"/>
            </w14:solidFill>
          </w14:textFill>
        </w:rPr>
      </w:pPr>
      <w:r>
        <w:rPr>
          <w:rFonts w:hint="eastAsia" w:ascii="仿宋_GB2312" w:hAnsi="仿宋_GB2312" w:eastAsia="仿宋_GB2312" w:cs="仿宋_GB2312"/>
          <w:b/>
          <w:color w:val="000000" w:themeColor="text1"/>
          <w:kern w:val="0"/>
          <w:sz w:val="28"/>
          <w:szCs w:val="31"/>
          <w14:textFill>
            <w14:solidFill>
              <w14:schemeClr w14:val="tx1"/>
            </w14:solidFill>
          </w14:textFill>
        </w:rPr>
        <w:t>第五条 工作成果</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前期服务工作成果表现为相应方案、报告、组织集体决策中后形成的决议文件、报请政府或相关部门同意后的</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实施方案文本等全套项目及台账</w:t>
      </w:r>
      <w:r>
        <w:rPr>
          <w:rFonts w:hint="eastAsia" w:ascii="仿宋_GB2312" w:hAnsi="仿宋_GB2312" w:eastAsia="仿宋_GB2312" w:cs="仿宋_GB2312"/>
          <w:bCs/>
          <w:color w:val="000000" w:themeColor="text1"/>
          <w:kern w:val="0"/>
          <w:sz w:val="28"/>
          <w:szCs w:val="31"/>
          <w14:textFill>
            <w14:solidFill>
              <w14:schemeClr w14:val="tx1"/>
            </w14:solidFill>
          </w14:textFill>
        </w:rPr>
        <w:t>。</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（一）标图入库：制定改造范围内“三旧”改造地块标图入库工作方案。</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（二）改造意愿：征集改造意愿，制作改造意愿征集表及负责公示公告，提出不同意愿的处置建议。</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w:t>
      </w:r>
      <w:r>
        <w:rPr>
          <w:rFonts w:hint="eastAsia" w:ascii="仿宋_GB2312" w:hAnsi="仿宋_GB2312" w:eastAsia="仿宋_GB2312" w:cs="仿宋_GB2312"/>
          <w:color w:val="000000" w:themeColor="text1"/>
          <w:kern w:val="0"/>
          <w:sz w:val="31"/>
          <w:szCs w:val="31"/>
          <w14:textFill>
            <w14:solidFill>
              <w14:schemeClr w14:val="tx1"/>
            </w14:solidFill>
          </w14:textFill>
        </w:rPr>
        <w:t>三</w:t>
      </w:r>
      <w:r>
        <w:rPr>
          <w:rFonts w:hint="eastAsia" w:ascii="仿宋_GB2312" w:hAnsi="仿宋_GB2312" w:eastAsia="仿宋_GB2312" w:cs="仿宋_GB2312"/>
          <w:bCs/>
          <w:color w:val="000000" w:themeColor="text1"/>
          <w:kern w:val="0"/>
          <w:sz w:val="28"/>
          <w:szCs w:val="31"/>
          <w14:textFill>
            <w14:solidFill>
              <w14:schemeClr w14:val="tx1"/>
            </w14:solidFill>
          </w14:textFill>
        </w:rPr>
        <w:t>）单元划定：提出改造用地范围线、拆除重建用地范围线、微改造用地范围线、开发建设用地范围线、移交政府用地范围线、政府盘整用地范围线等成果。</w:t>
      </w:r>
    </w:p>
    <w:p>
      <w:pPr>
        <w:widowControl/>
        <w:spacing w:line="700" w:lineRule="exact"/>
        <w:ind w:firstLine="560" w:firstLineChars="200"/>
        <w:rPr>
          <w:rFonts w:hint="eastAsia"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（四）现状调查：提供现状测绘成果，提供现状地类、产权登记、</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历史文化、土壤环境、不利因素（高压线、噪音、污染源</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、坟地</w:t>
      </w:r>
      <w:r>
        <w:rPr>
          <w:rFonts w:hint="eastAsia" w:ascii="仿宋_GB2312" w:hAnsi="仿宋_GB2312" w:eastAsia="仿宋_GB2312" w:cs="仿宋_GB2312"/>
          <w:bCs/>
          <w:color w:val="000000" w:themeColor="text1"/>
          <w:kern w:val="0"/>
          <w:sz w:val="28"/>
          <w:szCs w:val="31"/>
          <w14:textFill>
            <w14:solidFill>
              <w14:schemeClr w14:val="tx1"/>
            </w14:solidFill>
          </w14:textFill>
        </w:rPr>
        <w:t>）、社会经济等事项调查成果，提出现状问题合法性处置建议。</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五）规划评估：对初步划定的改造范围涉及的相关规划的功能结构、土地利用、综合交通、公共配套、城市设计、开发强度、改造策略等方面进行评估，对现有法定控规提出规划优化的建议和方案，提出控规未覆盖区域</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单元</w:t>
      </w:r>
      <w:r>
        <w:rPr>
          <w:rFonts w:hint="eastAsia" w:ascii="仿宋_GB2312" w:hAnsi="仿宋_GB2312" w:eastAsia="仿宋_GB2312" w:cs="仿宋_GB2312"/>
          <w:bCs/>
          <w:color w:val="000000" w:themeColor="text1"/>
          <w:kern w:val="0"/>
          <w:sz w:val="28"/>
          <w:szCs w:val="31"/>
          <w14:textFill>
            <w14:solidFill>
              <w14:schemeClr w14:val="tx1"/>
            </w14:solidFill>
          </w14:textFill>
        </w:rPr>
        <w:t>规划</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编制</w:t>
      </w:r>
      <w:r>
        <w:rPr>
          <w:rFonts w:hint="eastAsia" w:ascii="仿宋_GB2312" w:hAnsi="仿宋_GB2312" w:eastAsia="仿宋_GB2312" w:cs="仿宋_GB2312"/>
          <w:bCs/>
          <w:color w:val="000000" w:themeColor="text1"/>
          <w:kern w:val="0"/>
          <w:sz w:val="28"/>
          <w:szCs w:val="31"/>
          <w14:textFill>
            <w14:solidFill>
              <w14:schemeClr w14:val="tx1"/>
            </w14:solidFill>
          </w14:textFill>
        </w:rPr>
        <w:t>方案。</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（六）改造方案研究：对发展目标、功能定位、配套设施、交通评估、市政工程、产业分析、保障措施、实施策略提出可行性研究方案。</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（七）拆迁补偿：提出权益清单，拟定拆迁补偿方案。</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（八）利益共享：分析各权利主体合作意向协议或单一权利主体形成情况，提出代建移交政府设施项目工作建议，核算实施成本和收益。</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（九）实施模式：提出改造范围内改造主体、实施项目、实施程序、实施责任、实施保障、实施时序等建议或书面报告。</w:t>
      </w:r>
    </w:p>
    <w:p>
      <w:pPr>
        <w:widowControl/>
        <w:spacing w:line="700" w:lineRule="exact"/>
        <w:ind w:firstLine="560" w:firstLineChars="200"/>
        <w:rPr>
          <w:rFonts w:hint="eastAsia"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（十）其他事项:涉及社会稳定风险、古树名木保护的分析评估报告。</w:t>
      </w:r>
    </w:p>
    <w:p>
      <w:pPr>
        <w:widowControl/>
        <w:spacing w:line="700" w:lineRule="exact"/>
        <w:ind w:firstLine="560" w:firstLineChars="200"/>
        <w:rPr>
          <w:rFonts w:hint="eastAsia" w:ascii="仿宋_GB2312" w:hAnsi="仿宋_GB2312" w:eastAsia="仿宋_GB2312" w:cs="仿宋_GB2312"/>
          <w:b w:val="0"/>
          <w:bCs/>
          <w:i w:val="0"/>
          <w:iCs w:val="0"/>
          <w:caps w:val="0"/>
          <w:color w:val="000000" w:themeColor="text1"/>
          <w:spacing w:val="0"/>
          <w:kern w:val="0"/>
          <w:sz w:val="28"/>
          <w:szCs w:val="31"/>
          <w:lang w:eastAsia="zh-CN"/>
          <w14:textFill>
            <w14:solidFill>
              <w14:schemeClr w14:val="tx1"/>
            </w14:solidFill>
          </w14:textFill>
        </w:rPr>
      </w:pP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（十一）土壤</w:t>
      </w:r>
      <w:r>
        <w:rPr>
          <w:rFonts w:hint="eastAsia" w:ascii="仿宋_GB2312" w:hAnsi="仿宋_GB2312" w:eastAsia="仿宋_GB2312" w:cs="仿宋_GB2312"/>
          <w:b w:val="0"/>
          <w:bCs/>
          <w:i w:val="0"/>
          <w:iCs w:val="0"/>
          <w:caps w:val="0"/>
          <w:color w:val="000000" w:themeColor="text1"/>
          <w:spacing w:val="0"/>
          <w:kern w:val="0"/>
          <w:sz w:val="28"/>
          <w:szCs w:val="31"/>
          <w14:textFill>
            <w14:solidFill>
              <w14:schemeClr w14:val="tx1"/>
            </w14:solidFill>
          </w14:textFill>
        </w:rPr>
        <w:t>污染状况调查</w:t>
      </w:r>
      <w:r>
        <w:rPr>
          <w:rFonts w:hint="eastAsia" w:ascii="仿宋_GB2312" w:hAnsi="仿宋_GB2312" w:eastAsia="仿宋_GB2312" w:cs="仿宋_GB2312"/>
          <w:b w:val="0"/>
          <w:bCs/>
          <w:i w:val="0"/>
          <w:iCs w:val="0"/>
          <w:caps w:val="0"/>
          <w:color w:val="000000" w:themeColor="text1"/>
          <w:spacing w:val="0"/>
          <w:kern w:val="0"/>
          <w:sz w:val="28"/>
          <w:szCs w:val="31"/>
          <w:lang w:eastAsia="zh-CN"/>
          <w14:textFill>
            <w14:solidFill>
              <w14:schemeClr w14:val="tx1"/>
            </w14:solidFill>
          </w14:textFill>
        </w:rPr>
        <w:t>报告及备案情况表。</w:t>
      </w:r>
    </w:p>
    <w:p>
      <w:pPr>
        <w:keepNext w:val="0"/>
        <w:keepLines w:val="0"/>
        <w:pageBreakBefore w:val="0"/>
        <w:widowControl/>
        <w:numPr>
          <w:ilvl w:val="-1"/>
          <w:numId w:val="0"/>
        </w:numPr>
        <w:suppressLineNumbers w:val="0"/>
        <w:kinsoku/>
        <w:wordWrap/>
        <w:overflowPunct/>
        <w:topLinePunct w:val="0"/>
        <w:autoSpaceDE/>
        <w:autoSpaceDN/>
        <w:bidi w:val="0"/>
        <w:spacing w:line="700" w:lineRule="exact"/>
        <w:ind w:left="0" w:leftChars="0" w:firstLine="560" w:firstLineChars="200"/>
        <w:jc w:val="left"/>
        <w:textAlignment w:val="auto"/>
        <w:rPr>
          <w:rFonts w:hint="eastAsia" w:ascii="仿宋_GB2312" w:hAnsi="仿宋_GB2312" w:eastAsia="仿宋_GB2312" w:cs="仿宋_GB2312"/>
          <w:b w:val="0"/>
          <w:bCs/>
          <w:color w:val="000000" w:themeColor="text1"/>
          <w:kern w:val="0"/>
          <w:sz w:val="28"/>
          <w:szCs w:val="31"/>
          <w:lang w:val="en-US" w:eastAsia="zh-CN" w:bidi="ar"/>
          <w14:textFill>
            <w14:solidFill>
              <w14:schemeClr w14:val="tx1"/>
            </w14:solidFill>
          </w14:textFill>
        </w:rPr>
      </w:pP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（十二）尽职调查报告</w:t>
      </w:r>
      <w:r>
        <w:rPr>
          <w:rFonts w:hint="eastAsia" w:ascii="仿宋_GB2312" w:hAnsi="仿宋_GB2312" w:eastAsia="仿宋_GB2312" w:cs="仿宋_GB2312"/>
          <w:b w:val="0"/>
          <w:bCs/>
          <w:color w:val="000000" w:themeColor="text1"/>
          <w:kern w:val="0"/>
          <w:sz w:val="28"/>
          <w:szCs w:val="31"/>
          <w:lang w:val="en-US" w:eastAsia="zh-CN" w:bidi="ar"/>
          <w14:textFill>
            <w14:solidFill>
              <w14:schemeClr w14:val="tx1"/>
            </w14:solidFill>
          </w14:textFill>
        </w:rPr>
        <w:t>成果表现为相应调查取证内容、数据来源、风险提示报告等。</w:t>
      </w:r>
    </w:p>
    <w:p>
      <w:pPr>
        <w:widowControl/>
        <w:spacing w:line="700" w:lineRule="exact"/>
        <w:ind w:firstLine="560" w:firstLineChars="200"/>
        <w:rPr>
          <w:rFonts w:hint="eastAsia"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lang w:val="en-US" w:eastAsia="zh-CN"/>
          <w14:textFill>
            <w14:solidFill>
              <w14:schemeClr w14:val="tx1"/>
            </w14:solidFill>
          </w14:textFill>
        </w:rPr>
        <w:t>区</w:t>
      </w:r>
      <w:r>
        <w:rPr>
          <w:rFonts w:hint="eastAsia" w:ascii="仿宋_GB2312" w:hAnsi="仿宋_GB2312" w:eastAsia="仿宋_GB2312" w:cs="仿宋_GB2312"/>
          <w:bCs/>
          <w:color w:val="000000" w:themeColor="text1"/>
          <w:kern w:val="0"/>
          <w:sz w:val="28"/>
          <w:szCs w:val="31"/>
          <w14:textFill>
            <w14:solidFill>
              <w14:schemeClr w14:val="tx1"/>
            </w14:solidFill>
          </w14:textFill>
        </w:rPr>
        <w:t>自然资源局牵头组织各镇街</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及</w:t>
      </w:r>
      <w:r>
        <w:rPr>
          <w:rFonts w:hint="eastAsia" w:ascii="仿宋_GB2312" w:hAnsi="仿宋_GB2312" w:eastAsia="仿宋_GB2312" w:cs="仿宋_GB2312"/>
          <w:bCs/>
          <w:color w:val="000000" w:themeColor="text1"/>
          <w:kern w:val="0"/>
          <w:sz w:val="28"/>
          <w:szCs w:val="31"/>
          <w14:textFill>
            <w14:solidFill>
              <w14:schemeClr w14:val="tx1"/>
            </w14:solidFill>
          </w14:textFill>
        </w:rPr>
        <w:t>区</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相</w:t>
      </w:r>
      <w:r>
        <w:rPr>
          <w:rFonts w:hint="eastAsia" w:ascii="仿宋_GB2312" w:hAnsi="仿宋_GB2312" w:eastAsia="仿宋_GB2312" w:cs="仿宋_GB2312"/>
          <w:bCs/>
          <w:color w:val="000000" w:themeColor="text1"/>
          <w:kern w:val="0"/>
          <w:sz w:val="28"/>
          <w:szCs w:val="31"/>
          <w14:textFill>
            <w14:solidFill>
              <w14:schemeClr w14:val="tx1"/>
            </w14:solidFill>
          </w14:textFill>
        </w:rPr>
        <w:t>关部门、改造主体等对前期服务机构的服务质量</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、业务能力、完成时限、配合程度、</w:t>
      </w:r>
      <w:r>
        <w:rPr>
          <w:rFonts w:hint="eastAsia" w:ascii="仿宋_GB2312" w:hAnsi="仿宋_GB2312" w:eastAsia="仿宋_GB2312" w:cs="仿宋_GB2312"/>
          <w:bCs/>
          <w:color w:val="000000" w:themeColor="text1"/>
          <w:kern w:val="0"/>
          <w:sz w:val="28"/>
          <w:szCs w:val="31"/>
          <w:lang w:val="en-US" w:eastAsia="zh-CN"/>
          <w14:textFill>
            <w14:solidFill>
              <w14:schemeClr w14:val="tx1"/>
            </w14:solidFill>
          </w14:textFill>
        </w:rPr>
        <w:t>完成成果</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等</w:t>
      </w:r>
      <w:r>
        <w:rPr>
          <w:rFonts w:hint="eastAsia" w:ascii="仿宋_GB2312" w:hAnsi="仿宋_GB2312" w:eastAsia="仿宋_GB2312" w:cs="仿宋_GB2312"/>
          <w:bCs/>
          <w:color w:val="000000" w:themeColor="text1"/>
          <w:kern w:val="0"/>
          <w:sz w:val="28"/>
          <w:szCs w:val="31"/>
          <w14:textFill>
            <w14:solidFill>
              <w14:schemeClr w14:val="tx1"/>
            </w14:solidFill>
          </w14:textFill>
        </w:rPr>
        <w:t>进行</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量化打分给予</w:t>
      </w:r>
      <w:r>
        <w:rPr>
          <w:rFonts w:hint="eastAsia" w:ascii="仿宋_GB2312" w:hAnsi="仿宋_GB2312" w:eastAsia="仿宋_GB2312" w:cs="仿宋_GB2312"/>
          <w:bCs/>
          <w:color w:val="000000" w:themeColor="text1"/>
          <w:kern w:val="0"/>
          <w:sz w:val="28"/>
          <w:szCs w:val="31"/>
          <w14:textFill>
            <w14:solidFill>
              <w14:schemeClr w14:val="tx1"/>
            </w14:solidFill>
          </w14:textFill>
        </w:rPr>
        <w:t>综合评价</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，作为后期在我区承接专项业务及退出服务的重要参考依据</w:t>
      </w:r>
      <w:r>
        <w:rPr>
          <w:rFonts w:hint="eastAsia" w:ascii="仿宋_GB2312" w:hAnsi="仿宋_GB2312" w:eastAsia="仿宋_GB2312" w:cs="仿宋_GB2312"/>
          <w:bCs/>
          <w:color w:val="000000" w:themeColor="text1"/>
          <w:kern w:val="0"/>
          <w:sz w:val="28"/>
          <w:szCs w:val="31"/>
          <w14:textFill>
            <w14:solidFill>
              <w14:schemeClr w14:val="tx1"/>
            </w14:solidFill>
          </w14:textFill>
        </w:rPr>
        <w:t>。</w:t>
      </w:r>
    </w:p>
    <w:p>
      <w:pPr>
        <w:widowControl/>
        <w:spacing w:line="700" w:lineRule="exact"/>
        <w:ind w:firstLine="562" w:firstLineChars="200"/>
        <w:rPr>
          <w:rFonts w:ascii="仿宋_GB2312" w:hAnsi="仿宋_GB2312" w:eastAsia="仿宋_GB2312" w:cs="仿宋_GB2312"/>
          <w:b/>
          <w:color w:val="000000" w:themeColor="text1"/>
          <w:kern w:val="0"/>
          <w:sz w:val="28"/>
          <w:szCs w:val="31"/>
          <w14:textFill>
            <w14:solidFill>
              <w14:schemeClr w14:val="tx1"/>
            </w14:solidFill>
          </w14:textFill>
        </w:rPr>
      </w:pPr>
      <w:r>
        <w:rPr>
          <w:rFonts w:hint="eastAsia" w:ascii="仿宋_GB2312" w:hAnsi="仿宋_GB2312" w:eastAsia="仿宋_GB2312" w:cs="仿宋_GB2312"/>
          <w:b/>
          <w:color w:val="000000" w:themeColor="text1"/>
          <w:kern w:val="0"/>
          <w:sz w:val="28"/>
          <w:szCs w:val="31"/>
          <w14:textFill>
            <w14:solidFill>
              <w14:schemeClr w14:val="tx1"/>
            </w14:solidFill>
          </w14:textFill>
        </w:rPr>
        <w:t>第六条</w:t>
      </w:r>
      <w:r>
        <w:rPr>
          <w:rFonts w:hint="eastAsia" w:ascii="仿宋_GB2312" w:hAnsi="仿宋_GB2312" w:eastAsia="仿宋_GB2312" w:cs="仿宋_GB2312"/>
          <w:b/>
          <w:color w:val="000000" w:themeColor="text1"/>
          <w:kern w:val="0"/>
          <w:sz w:val="28"/>
          <w:szCs w:val="31"/>
          <w:lang w:val="en-US" w:eastAsia="zh-CN"/>
          <w14:textFill>
            <w14:solidFill>
              <w14:schemeClr w14:val="tx1"/>
            </w14:solidFill>
          </w14:textFill>
        </w:rPr>
        <w:t xml:space="preserve"> </w:t>
      </w:r>
      <w:r>
        <w:rPr>
          <w:rFonts w:hint="eastAsia" w:ascii="仿宋_GB2312" w:hAnsi="仿宋_GB2312" w:eastAsia="仿宋_GB2312" w:cs="仿宋_GB2312"/>
          <w:b/>
          <w:color w:val="000000" w:themeColor="text1"/>
          <w:kern w:val="0"/>
          <w:sz w:val="28"/>
          <w:szCs w:val="31"/>
          <w14:textFill>
            <w14:solidFill>
              <w14:schemeClr w14:val="tx1"/>
            </w14:solidFill>
          </w14:textFill>
        </w:rPr>
        <w:t>工作报酬</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一</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前期服务机构</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及尽职调查</w:t>
      </w:r>
      <w:r>
        <w:rPr>
          <w:rFonts w:hint="eastAsia" w:ascii="仿宋_GB2312" w:hAnsi="仿宋_GB2312" w:eastAsia="仿宋_GB2312" w:cs="仿宋_GB2312"/>
          <w:bCs/>
          <w:color w:val="000000" w:themeColor="text1"/>
          <w:kern w:val="0"/>
          <w:sz w:val="28"/>
          <w:szCs w:val="31"/>
          <w14:textFill>
            <w14:solidFill>
              <w14:schemeClr w14:val="tx1"/>
            </w14:solidFill>
          </w14:textFill>
        </w:rPr>
        <w:t>的工作报酬先由改造项目原权利人承担，原权利人承担后可计入改造项目成本，由改造主体承担或返还</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工作报酬及支付时限</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、支付方式</w:t>
      </w:r>
      <w:r>
        <w:rPr>
          <w:rFonts w:hint="eastAsia" w:ascii="仿宋_GB2312" w:hAnsi="仿宋_GB2312" w:eastAsia="仿宋_GB2312" w:cs="仿宋_GB2312"/>
          <w:bCs/>
          <w:color w:val="000000" w:themeColor="text1"/>
          <w:kern w:val="0"/>
          <w:sz w:val="28"/>
          <w:szCs w:val="31"/>
          <w14:textFill>
            <w14:solidFill>
              <w14:schemeClr w14:val="tx1"/>
            </w14:solidFill>
          </w14:textFill>
        </w:rPr>
        <w:t>在合同或协议中予以明确。</w:t>
      </w:r>
    </w:p>
    <w:p>
      <w:pPr>
        <w:widowControl/>
        <w:spacing w:before="156" w:beforeLines="50" w:after="156" w:afterLines="50" w:line="700" w:lineRule="exact"/>
        <w:ind w:firstLine="560" w:firstLineChars="200"/>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pP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二</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 w:val="0"/>
          <w:bCs/>
          <w:i w:val="0"/>
          <w:iCs w:val="0"/>
          <w:caps w:val="0"/>
          <w:color w:val="000000" w:themeColor="text1"/>
          <w:spacing w:val="0"/>
          <w:kern w:val="0"/>
          <w:sz w:val="28"/>
          <w:szCs w:val="31"/>
          <w14:textFill>
            <w14:solidFill>
              <w14:schemeClr w14:val="tx1"/>
            </w14:solidFill>
          </w14:textFill>
        </w:rPr>
        <w:t>因实施或者组织实施土壤污染状况调查和土壤污染风险评估、风险管控、修复、风险管控效果评估、修复效果评估、后期管理等活动所支出的费用，由土壤污染责任人</w:t>
      </w:r>
      <w:r>
        <w:rPr>
          <w:rFonts w:hint="eastAsia" w:ascii="仿宋_GB2312" w:hAnsi="仿宋_GB2312" w:eastAsia="仿宋_GB2312" w:cs="仿宋_GB2312"/>
          <w:b w:val="0"/>
          <w:bCs/>
          <w:i w:val="0"/>
          <w:iCs w:val="0"/>
          <w:caps w:val="0"/>
          <w:color w:val="000000" w:themeColor="text1"/>
          <w:spacing w:val="0"/>
          <w:kern w:val="0"/>
          <w:sz w:val="28"/>
          <w:szCs w:val="31"/>
          <w:lang w:eastAsia="zh-CN"/>
          <w14:textFill>
            <w14:solidFill>
              <w14:schemeClr w14:val="tx1"/>
            </w14:solidFill>
          </w14:textFill>
        </w:rPr>
        <w:t>、</w:t>
      </w:r>
      <w:r>
        <w:rPr>
          <w:rFonts w:hint="eastAsia" w:ascii="仿宋_GB2312" w:hAnsi="仿宋_GB2312" w:eastAsia="仿宋_GB2312" w:cs="仿宋_GB2312"/>
          <w:b w:val="0"/>
          <w:bCs/>
          <w:i w:val="0"/>
          <w:iCs w:val="0"/>
          <w:caps w:val="0"/>
          <w:color w:val="000000" w:themeColor="text1"/>
          <w:spacing w:val="0"/>
          <w:kern w:val="0"/>
          <w:sz w:val="28"/>
          <w:szCs w:val="31"/>
          <w14:textFill>
            <w14:solidFill>
              <w14:schemeClr w14:val="tx1"/>
            </w14:solidFill>
          </w14:textFill>
        </w:rPr>
        <w:t>土地使用权人承担。</w:t>
      </w:r>
    </w:p>
    <w:p>
      <w:pPr>
        <w:spacing w:before="156" w:beforeLines="50" w:after="156" w:afterLines="50"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三</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镇人民政府（街道办事处）</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、惠阳区自然资源局</w:t>
      </w:r>
      <w:r>
        <w:rPr>
          <w:rFonts w:hint="eastAsia" w:ascii="仿宋_GB2312" w:hAnsi="仿宋_GB2312" w:eastAsia="仿宋_GB2312" w:cs="仿宋_GB2312"/>
          <w:bCs/>
          <w:color w:val="000000" w:themeColor="text1"/>
          <w:kern w:val="0"/>
          <w:sz w:val="28"/>
          <w:szCs w:val="31"/>
          <w14:textFill>
            <w14:solidFill>
              <w14:schemeClr w14:val="tx1"/>
            </w14:solidFill>
          </w14:textFill>
        </w:rPr>
        <w:t>需在委托服务协议中明确约定服务费用、结算标准、结算时点、结算方式等内容并对前期服务机构的工作报酬进行核查并给出核查结论。</w:t>
      </w:r>
    </w:p>
    <w:p>
      <w:pPr>
        <w:widowControl/>
        <w:spacing w:line="700" w:lineRule="exact"/>
        <w:ind w:firstLine="560" w:firstLineChars="200"/>
        <w:rPr>
          <w:rFonts w:hint="eastAsia"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四</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31"/>
          <w14:textFill>
            <w14:solidFill>
              <w14:schemeClr w14:val="tx1"/>
            </w14:solidFill>
          </w14:textFill>
        </w:rPr>
        <w:t>前期服务工作报酬时</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可</w:t>
      </w:r>
      <w:r>
        <w:rPr>
          <w:rFonts w:hint="eastAsia" w:ascii="仿宋_GB2312" w:hAnsi="仿宋_GB2312" w:eastAsia="仿宋_GB2312" w:cs="仿宋_GB2312"/>
          <w:bCs/>
          <w:color w:val="000000" w:themeColor="text1"/>
          <w:kern w:val="0"/>
          <w:sz w:val="28"/>
          <w:szCs w:val="31"/>
          <w14:textFill>
            <w14:solidFill>
              <w14:schemeClr w14:val="tx1"/>
            </w14:solidFill>
          </w14:textFill>
        </w:rPr>
        <w:t>参照</w:t>
      </w:r>
      <w:r>
        <w:rPr>
          <w:rFonts w:hint="eastAsia" w:ascii="仿宋_GB2312" w:hAnsi="仿宋_GB2312" w:eastAsia="仿宋_GB2312" w:cs="仿宋_GB2312"/>
          <w:bCs/>
          <w:color w:val="000000" w:themeColor="text1"/>
          <w:kern w:val="0"/>
          <w:sz w:val="28"/>
          <w:szCs w:val="31"/>
          <w:lang w:eastAsia="zh-CN"/>
          <w14:textFill>
            <w14:solidFill>
              <w14:schemeClr w14:val="tx1"/>
            </w14:solidFill>
          </w14:textFill>
        </w:rPr>
        <w:t>国家、省、市相关行业收费标准及</w:t>
      </w:r>
      <w:r>
        <w:rPr>
          <w:rFonts w:hint="eastAsia" w:ascii="仿宋_GB2312" w:hAnsi="仿宋_GB2312" w:eastAsia="仿宋_GB2312" w:cs="仿宋_GB2312"/>
          <w:bCs/>
          <w:color w:val="000000" w:themeColor="text1"/>
          <w:kern w:val="0"/>
          <w:sz w:val="28"/>
          <w:szCs w:val="31"/>
          <w14:textFill>
            <w14:solidFill>
              <w14:schemeClr w14:val="tx1"/>
            </w14:solidFill>
          </w14:textFill>
        </w:rPr>
        <w:t>执行。</w:t>
      </w:r>
    </w:p>
    <w:p>
      <w:pPr>
        <w:widowControl/>
        <w:spacing w:line="700" w:lineRule="exact"/>
        <w:ind w:firstLine="562" w:firstLineChars="200"/>
        <w:rPr>
          <w:rFonts w:hint="eastAsia"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
          <w:color w:val="000000" w:themeColor="text1"/>
          <w:kern w:val="0"/>
          <w:sz w:val="28"/>
          <w:szCs w:val="31"/>
          <w14:textFill>
            <w14:solidFill>
              <w14:schemeClr w14:val="tx1"/>
            </w14:solidFill>
          </w14:textFill>
        </w:rPr>
        <w:t>第</w:t>
      </w:r>
      <w:r>
        <w:rPr>
          <w:rFonts w:hint="eastAsia" w:ascii="仿宋_GB2312" w:hAnsi="仿宋_GB2312" w:eastAsia="仿宋_GB2312" w:cs="仿宋_GB2312"/>
          <w:b/>
          <w:color w:val="000000" w:themeColor="text1"/>
          <w:kern w:val="0"/>
          <w:sz w:val="28"/>
          <w:szCs w:val="31"/>
          <w:lang w:eastAsia="zh-CN"/>
          <w14:textFill>
            <w14:solidFill>
              <w14:schemeClr w14:val="tx1"/>
            </w14:solidFill>
          </w14:textFill>
        </w:rPr>
        <w:t>七</w:t>
      </w:r>
      <w:r>
        <w:rPr>
          <w:rFonts w:hint="eastAsia" w:ascii="仿宋_GB2312" w:hAnsi="仿宋_GB2312" w:eastAsia="仿宋_GB2312" w:cs="仿宋_GB2312"/>
          <w:b/>
          <w:color w:val="000000" w:themeColor="text1"/>
          <w:kern w:val="0"/>
          <w:sz w:val="28"/>
          <w:szCs w:val="31"/>
          <w14:textFill>
            <w14:solidFill>
              <w14:schemeClr w14:val="tx1"/>
            </w14:solidFill>
          </w14:textFill>
        </w:rPr>
        <w:t>条  生效时间</w:t>
      </w:r>
    </w:p>
    <w:p>
      <w:pPr>
        <w:widowControl/>
        <w:spacing w:line="700" w:lineRule="exact"/>
        <w:ind w:firstLine="560" w:firstLineChars="200"/>
        <w:rPr>
          <w:rFonts w:ascii="仿宋_GB2312" w:hAnsi="仿宋_GB2312" w:eastAsia="仿宋_GB2312" w:cs="仿宋_GB2312"/>
          <w:bCs/>
          <w:color w:val="000000" w:themeColor="text1"/>
          <w:kern w:val="0"/>
          <w:sz w:val="28"/>
          <w:szCs w:val="31"/>
          <w14:textFill>
            <w14:solidFill>
              <w14:schemeClr w14:val="tx1"/>
            </w14:solidFill>
          </w14:textFill>
        </w:rPr>
      </w:pPr>
      <w:r>
        <w:rPr>
          <w:rFonts w:hint="eastAsia" w:ascii="仿宋_GB2312" w:hAnsi="仿宋_GB2312" w:eastAsia="仿宋_GB2312" w:cs="仿宋_GB2312"/>
          <w:bCs/>
          <w:color w:val="000000" w:themeColor="text1"/>
          <w:kern w:val="0"/>
          <w:sz w:val="28"/>
          <w:szCs w:val="31"/>
          <w14:textFill>
            <w14:solidFill>
              <w14:schemeClr w14:val="tx1"/>
            </w14:solidFill>
          </w14:textFill>
        </w:rPr>
        <w:t>本指引自2023年  月  日起试行，试行时间至  年  月  日，本指引由惠阳区自然资源局负责解释。</w:t>
      </w:r>
    </w:p>
    <w:p>
      <w:pPr>
        <w:pStyle w:val="7"/>
        <w:shd w:val="clear" w:color="auto" w:fill="FFFFFF"/>
        <w:spacing w:before="0" w:beforeAutospacing="0" w:after="0" w:afterAutospacing="0" w:line="700" w:lineRule="exact"/>
        <w:ind w:firstLine="560" w:firstLineChars="200"/>
        <w:jc w:val="both"/>
        <w:rPr>
          <w:rFonts w:ascii="仿宋" w:hAnsi="仿宋" w:eastAsia="仿宋" w:cs="Times New Roman"/>
          <w:bCs/>
          <w:color w:val="000000" w:themeColor="text1"/>
          <w:sz w:val="28"/>
          <w:szCs w:val="32"/>
          <w14:textFill>
            <w14:solidFill>
              <w14:schemeClr w14:val="tx1"/>
            </w14:solidFill>
          </w14:textFill>
        </w:rPr>
      </w:pPr>
    </w:p>
    <w:p>
      <w:pPr>
        <w:pStyle w:val="7"/>
        <w:shd w:val="clear" w:color="auto" w:fill="FFFFFF"/>
        <w:spacing w:before="0" w:beforeAutospacing="0" w:after="0" w:afterAutospacing="0" w:line="700" w:lineRule="exact"/>
        <w:ind w:firstLine="560" w:firstLineChars="200"/>
        <w:jc w:val="both"/>
        <w:rPr>
          <w:rFonts w:ascii="仿宋" w:hAnsi="仿宋" w:eastAsia="仿宋" w:cs="Times New Roman"/>
          <w:bCs/>
          <w:color w:val="000000" w:themeColor="text1"/>
          <w:sz w:val="28"/>
          <w:szCs w:val="32"/>
          <w14:textFill>
            <w14:solidFill>
              <w14:schemeClr w14:val="tx1"/>
            </w14:solidFill>
          </w14:textFill>
        </w:rPr>
      </w:pPr>
    </w:p>
    <w:p>
      <w:pPr>
        <w:pStyle w:val="7"/>
        <w:shd w:val="clear" w:color="auto" w:fill="FFFFFF"/>
        <w:spacing w:before="0" w:beforeAutospacing="0" w:after="0" w:afterAutospacing="0" w:line="700" w:lineRule="exact"/>
        <w:ind w:firstLine="560" w:firstLineChars="200"/>
        <w:jc w:val="both"/>
        <w:rPr>
          <w:rFonts w:ascii="仿宋" w:hAnsi="仿宋" w:eastAsia="仿宋" w:cs="Times New Roman"/>
          <w:bCs/>
          <w:color w:val="000000" w:themeColor="text1"/>
          <w:sz w:val="28"/>
          <w:szCs w:val="32"/>
          <w14:textFill>
            <w14:solidFill>
              <w14:schemeClr w14:val="tx1"/>
            </w14:solidFill>
          </w14:textFill>
        </w:rPr>
      </w:pPr>
    </w:p>
    <w:p>
      <w:pPr>
        <w:pStyle w:val="7"/>
        <w:shd w:val="clear" w:color="auto" w:fill="FFFFFF"/>
        <w:spacing w:before="0" w:beforeAutospacing="0" w:after="0" w:afterAutospacing="0" w:line="700" w:lineRule="exact"/>
        <w:ind w:firstLine="560" w:firstLineChars="200"/>
        <w:jc w:val="both"/>
        <w:rPr>
          <w:rFonts w:ascii="仿宋" w:hAnsi="仿宋" w:eastAsia="仿宋" w:cs="Times New Roman"/>
          <w:bCs/>
          <w:color w:val="000000" w:themeColor="text1"/>
          <w:sz w:val="28"/>
          <w:szCs w:val="32"/>
          <w14:textFill>
            <w14:solidFill>
              <w14:schemeClr w14:val="tx1"/>
            </w14:solidFill>
          </w14:textFill>
        </w:rPr>
      </w:pPr>
    </w:p>
    <w:p>
      <w:pPr>
        <w:pStyle w:val="7"/>
        <w:shd w:val="clear" w:color="auto" w:fill="FFFFFF"/>
        <w:spacing w:before="0" w:beforeAutospacing="0" w:after="0" w:afterAutospacing="0" w:line="700" w:lineRule="exact"/>
        <w:ind w:firstLine="560" w:firstLineChars="200"/>
        <w:jc w:val="both"/>
        <w:rPr>
          <w:rFonts w:ascii="仿宋" w:hAnsi="仿宋" w:eastAsia="仿宋" w:cs="Times New Roman"/>
          <w:bCs/>
          <w:color w:val="000000" w:themeColor="text1"/>
          <w:sz w:val="28"/>
          <w:szCs w:val="32"/>
          <w14:textFill>
            <w14:solidFill>
              <w14:schemeClr w14:val="tx1"/>
            </w14:solidFill>
          </w14:textFill>
        </w:rPr>
      </w:pPr>
    </w:p>
    <w:p>
      <w:pPr>
        <w:pStyle w:val="7"/>
        <w:shd w:val="clear" w:color="auto" w:fill="FFFFFF"/>
        <w:spacing w:before="0" w:beforeAutospacing="0" w:after="0" w:afterAutospacing="0" w:line="700" w:lineRule="exact"/>
        <w:ind w:firstLine="560" w:firstLineChars="200"/>
        <w:jc w:val="both"/>
        <w:rPr>
          <w:rFonts w:ascii="仿宋" w:hAnsi="仿宋" w:eastAsia="仿宋" w:cs="Times New Roman"/>
          <w:bCs/>
          <w:color w:val="000000" w:themeColor="text1"/>
          <w:sz w:val="28"/>
          <w:szCs w:val="32"/>
          <w14:textFill>
            <w14:solidFill>
              <w14:schemeClr w14:val="tx1"/>
            </w14:solidFill>
          </w14:textFill>
        </w:rPr>
      </w:pPr>
    </w:p>
    <w:p>
      <w:pPr>
        <w:pStyle w:val="7"/>
        <w:shd w:val="clear" w:color="auto" w:fill="FFFFFF"/>
        <w:spacing w:before="0" w:beforeAutospacing="0" w:after="0" w:afterAutospacing="0" w:line="700" w:lineRule="exact"/>
        <w:ind w:firstLine="560" w:firstLineChars="200"/>
        <w:jc w:val="both"/>
        <w:rPr>
          <w:rFonts w:ascii="仿宋" w:hAnsi="仿宋" w:eastAsia="仿宋" w:cs="Times New Roman"/>
          <w:bCs/>
          <w:color w:val="000000" w:themeColor="text1"/>
          <w:sz w:val="28"/>
          <w:szCs w:val="32"/>
          <w14:textFill>
            <w14:solidFill>
              <w14:schemeClr w14:val="tx1"/>
            </w14:solidFill>
          </w14:textFill>
        </w:rPr>
      </w:pPr>
    </w:p>
    <w:p>
      <w:pPr>
        <w:spacing w:line="700" w:lineRule="exact"/>
        <w:rPr>
          <w:rFonts w:hint="eastAsia"/>
          <w:bCs/>
          <w:color w:val="000000" w:themeColor="text1"/>
          <w:sz w:val="28"/>
          <w14:textFill>
            <w14:solidFill>
              <w14:schemeClr w14:val="tx1"/>
            </w14:solidFill>
          </w14:textFill>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zYWY2OGVjODQ2MDYzN2MyNzgyMjg1MjAwOWFhMzIifQ=="/>
  </w:docVars>
  <w:rsids>
    <w:rsidRoot w:val="00000000"/>
    <w:rsid w:val="0E0E785B"/>
    <w:rsid w:val="11117D46"/>
    <w:rsid w:val="1D6B5709"/>
    <w:rsid w:val="1EF60076"/>
    <w:rsid w:val="20610BEF"/>
    <w:rsid w:val="248F7AA6"/>
    <w:rsid w:val="26B45AEB"/>
    <w:rsid w:val="29A4341E"/>
    <w:rsid w:val="3ABF7415"/>
    <w:rsid w:val="3C4B629D"/>
    <w:rsid w:val="3DF070B8"/>
    <w:rsid w:val="4447101A"/>
    <w:rsid w:val="48022CA8"/>
    <w:rsid w:val="4B05528A"/>
    <w:rsid w:val="514069D9"/>
    <w:rsid w:val="602C398A"/>
    <w:rsid w:val="638E56DB"/>
    <w:rsid w:val="65735101"/>
    <w:rsid w:val="6C733D6F"/>
    <w:rsid w:val="71DC4F32"/>
    <w:rsid w:val="753A180E"/>
    <w:rsid w:val="789E1344"/>
    <w:rsid w:val="7A6E27F3"/>
    <w:rsid w:val="7D334410"/>
    <w:rsid w:val="7DDC5E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qFormat/>
    <w:uiPriority w:val="1"/>
  </w:style>
  <w:style w:type="table" w:default="1" w:styleId="8">
    <w:name w:val="Normal Table"/>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annotation text"/>
    <w:basedOn w:val="1"/>
    <w:qFormat/>
    <w:uiPriority w:val="99"/>
    <w:pPr>
      <w:spacing w:after="160"/>
    </w:pPr>
    <w:rPr>
      <w:sz w:val="20"/>
      <w:szCs w:val="20"/>
    </w:rPr>
  </w:style>
  <w:style w:type="paragraph" w:styleId="5">
    <w:name w:val="footer"/>
    <w:basedOn w:val="1"/>
    <w:qFormat/>
    <w:uiPriority w:val="99"/>
    <w:pPr>
      <w:tabs>
        <w:tab w:val="center" w:pos="4153"/>
        <w:tab w:val="right" w:pos="8306"/>
      </w:tabs>
      <w:snapToGrid w:val="0"/>
      <w:jc w:val="left"/>
    </w:pPr>
    <w:rPr>
      <w:sz w:val="18"/>
    </w:rPr>
  </w:style>
  <w:style w:type="paragraph" w:styleId="6">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9">
    <w:name w:val="Table Grid"/>
    <w:basedOn w:val="8"/>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4004</Words>
  <Characters>4026</Characters>
  <Paragraphs>86</Paragraphs>
  <TotalTime>1</TotalTime>
  <ScaleCrop>false</ScaleCrop>
  <LinksUpToDate>false</LinksUpToDate>
  <CharactersWithSpaces>4056</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2021-04-26T06:36:00Z</dcterms:created>
  <dc:creator>Administrator</dc:creator>
  <cp:lastModifiedBy>Wenqian</cp:lastModifiedBy>
  <cp:lastPrinted>2023-06-30T06:53:00Z</cp:lastPrinted>
  <dcterms:modified xsi:type="dcterms:W3CDTF">2023-07-03T08:08:17Z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3CB2968920B14E62BCB4B232CC2CABA4_13</vt:lpwstr>
  </property>
</Properties>
</file>