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val="en-US" w:eastAsia="zh-CN"/>
        </w:rPr>
      </w:pPr>
      <w:r>
        <w:rPr>
          <w:rFonts w:hint="eastAsia" w:ascii="方正小标宋_GBK" w:eastAsia="方正小标宋_GBK"/>
          <w:sz w:val="44"/>
          <w:szCs w:val="44"/>
        </w:rPr>
        <w:t>关于《惠州市惠阳区房屋征收房票安置实施细则（</w:t>
      </w:r>
      <w:r>
        <w:rPr>
          <w:rFonts w:hint="eastAsia" w:ascii="方正小标宋_GBK" w:eastAsia="方正小标宋_GBK"/>
          <w:sz w:val="44"/>
          <w:szCs w:val="44"/>
          <w:lang w:val="en-US" w:eastAsia="zh-CN"/>
        </w:rPr>
        <w:t>征求意见</w:t>
      </w:r>
      <w:r>
        <w:rPr>
          <w:rFonts w:hint="eastAsia" w:ascii="方正小标宋_GBK" w:eastAsia="方正小标宋_GBK"/>
          <w:sz w:val="44"/>
          <w:szCs w:val="44"/>
        </w:rPr>
        <w:t>稿）》的</w:t>
      </w:r>
      <w:r>
        <w:rPr>
          <w:rFonts w:hint="eastAsia" w:ascii="方正小标宋_GBK" w:eastAsia="方正小标宋_GBK"/>
          <w:sz w:val="44"/>
          <w:szCs w:val="44"/>
          <w:lang w:val="en-US" w:eastAsia="zh-CN"/>
        </w:rPr>
        <w:t>解读</w:t>
      </w:r>
    </w:p>
    <w:p>
      <w:pPr>
        <w:ind w:firstLine="640" w:firstLineChars="200"/>
        <w:rPr>
          <w:rFonts w:ascii="仿宋_GB2312" w:eastAsia="仿宋_GB2312"/>
          <w:sz w:val="32"/>
          <w:szCs w:val="32"/>
        </w:rPr>
      </w:pP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为深入践行人民城市理念，保障被征收人合法权益，根据《惠州</w:t>
      </w:r>
      <w:bookmarkStart w:id="1" w:name="_GoBack"/>
      <w:bookmarkEnd w:id="1"/>
      <w:r>
        <w:rPr>
          <w:rFonts w:ascii="Times New Roman" w:hAnsi="Times New Roman" w:eastAsia="仿宋_GB2312" w:cs="Times New Roman"/>
          <w:sz w:val="32"/>
          <w:szCs w:val="32"/>
        </w:rPr>
        <w:t>市人民政府关于印发惠州市集体土地征收与补偿办法的通知》（惠府〔2025〕6号）及《惠州市自然资源局关于房屋征收实施房票安置的意见》（惠市自然资〔2025〕149号）等有关规定，</w:t>
      </w:r>
      <w:r>
        <w:rPr>
          <w:rFonts w:hint="eastAsia" w:ascii="Times New Roman" w:hAnsi="Times New Roman" w:eastAsia="仿宋_GB2312" w:cs="Times New Roman"/>
          <w:sz w:val="32"/>
          <w:szCs w:val="32"/>
        </w:rPr>
        <w:t>我局</w:t>
      </w:r>
      <w:r>
        <w:rPr>
          <w:rFonts w:ascii="Times New Roman" w:hAnsi="Times New Roman" w:eastAsia="仿宋_GB2312" w:cs="Times New Roman"/>
          <w:sz w:val="32"/>
          <w:szCs w:val="32"/>
        </w:rPr>
        <w:t>经过调研、部门征求意见等程序，多次修改完善后形成</w:t>
      </w:r>
      <w:r>
        <w:rPr>
          <w:rFonts w:hint="eastAsia" w:ascii="Times New Roman" w:hAnsi="Times New Roman" w:eastAsia="仿宋_GB2312" w:cs="Times New Roman"/>
          <w:sz w:val="32"/>
          <w:szCs w:val="32"/>
        </w:rPr>
        <w:t>了</w:t>
      </w:r>
      <w:r>
        <w:rPr>
          <w:rFonts w:ascii="Times New Roman" w:hAnsi="Times New Roman" w:eastAsia="仿宋_GB2312" w:cs="Times New Roman"/>
          <w:sz w:val="32"/>
          <w:szCs w:val="32"/>
        </w:rPr>
        <w:t>《惠州市惠阳区房屋征收房票安置实施细则（</w:t>
      </w:r>
      <w:r>
        <w:rPr>
          <w:rFonts w:hint="eastAsia" w:ascii="Times New Roman" w:hAnsi="Times New Roman" w:eastAsia="仿宋_GB2312" w:cs="Times New Roman"/>
          <w:sz w:val="32"/>
          <w:szCs w:val="32"/>
          <w:lang w:val="en-US" w:eastAsia="zh-CN"/>
        </w:rPr>
        <w:t>征求意见</w:t>
      </w:r>
      <w:r>
        <w:rPr>
          <w:rFonts w:ascii="Times New Roman" w:hAnsi="Times New Roman" w:eastAsia="仿宋_GB2312" w:cs="Times New Roman"/>
          <w:sz w:val="32"/>
          <w:szCs w:val="32"/>
        </w:rPr>
        <w:t>稿）》</w:t>
      </w:r>
      <w:r>
        <w:rPr>
          <w:rFonts w:hint="eastAsia" w:ascii="Times New Roman" w:hAnsi="Times New Roman" w:eastAsia="仿宋_GB2312" w:cs="Times New Roman"/>
          <w:sz w:val="32"/>
          <w:szCs w:val="32"/>
        </w:rPr>
        <w:t>（以下简称</w:t>
      </w:r>
      <w:bookmarkStart w:id="0" w:name="_Hlk194338739"/>
      <w:r>
        <w:rPr>
          <w:rFonts w:hint="eastAsia" w:ascii="Times New Roman" w:hAnsi="Times New Roman" w:eastAsia="仿宋_GB2312" w:cs="Times New Roman"/>
          <w:sz w:val="32"/>
          <w:szCs w:val="32"/>
        </w:rPr>
        <w:t>《实施细则》</w:t>
      </w:r>
      <w:bookmarkEnd w:id="0"/>
      <w:r>
        <w:rPr>
          <w:rFonts w:hint="eastAsia" w:ascii="Times New Roman" w:hAnsi="Times New Roman" w:eastAsia="仿宋_GB2312" w:cs="Times New Roman"/>
          <w:sz w:val="32"/>
          <w:szCs w:val="32"/>
        </w:rPr>
        <w:t>），现就《实施细则》有关内容说明如下：</w:t>
      </w:r>
    </w:p>
    <w:p>
      <w:pPr>
        <w:pStyle w:val="30"/>
        <w:numPr>
          <w:ilvl w:val="0"/>
          <w:numId w:val="1"/>
        </w:numPr>
        <w:tabs>
          <w:tab w:val="left" w:pos="1418"/>
        </w:tabs>
        <w:ind w:left="0"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出台背景及依据</w:t>
      </w:r>
    </w:p>
    <w:p>
      <w:pPr>
        <w:pStyle w:val="30"/>
        <w:numPr>
          <w:ilvl w:val="0"/>
          <w:numId w:val="2"/>
        </w:numPr>
        <w:ind w:left="0" w:firstLine="640" w:firstLineChars="200"/>
        <w:outlineLvl w:val="1"/>
        <w:rPr>
          <w:rFonts w:hint="eastAsia" w:ascii="楷体_GB2312" w:hAnsi="Times New Roman" w:eastAsia="楷体_GB2312" w:cs="Times New Roman"/>
          <w:sz w:val="32"/>
          <w:szCs w:val="32"/>
        </w:rPr>
      </w:pPr>
      <w:r>
        <w:rPr>
          <w:rFonts w:hint="eastAsia" w:ascii="楷体_GB2312" w:hAnsi="Times New Roman" w:eastAsia="楷体_GB2312" w:cs="Times New Roman"/>
          <w:sz w:val="32"/>
          <w:szCs w:val="32"/>
        </w:rPr>
        <w:t>出台背景</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为满足被征收人多元化安置需求，积极拓宽房屋征收安置渠道，缩短安置时间，2024年3月6日，惠州市自然资源局印发了</w:t>
      </w:r>
      <w:r>
        <w:rPr>
          <w:rFonts w:ascii="Times New Roman" w:hAnsi="Times New Roman" w:eastAsia="仿宋_GB2312" w:cs="Times New Roman"/>
          <w:sz w:val="32"/>
          <w:szCs w:val="32"/>
        </w:rPr>
        <w:t>《惠州市自然资源局关于房屋征收实施房票安置的意见》（惠市自然资〔2025〕149号</w:t>
      </w:r>
      <w:r>
        <w:rPr>
          <w:rFonts w:hint="eastAsia" w:ascii="Times New Roman" w:hAnsi="Times New Roman" w:eastAsia="仿宋_GB2312" w:cs="Times New Roman"/>
          <w:sz w:val="32"/>
          <w:szCs w:val="32"/>
        </w:rPr>
        <w:t>，以下简称《实施意见》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,并自公布之日起施行。为确保《实施意见》的有关规定落到实地，并结合惠阳区实际进一步细化《实施意见》相关规定，我局起草了《实施细则》。</w:t>
      </w:r>
    </w:p>
    <w:p>
      <w:pPr>
        <w:pStyle w:val="30"/>
        <w:numPr>
          <w:ilvl w:val="0"/>
          <w:numId w:val="2"/>
        </w:numPr>
        <w:ind w:left="0" w:firstLine="640" w:firstLineChars="200"/>
        <w:outlineLvl w:val="1"/>
        <w:rPr>
          <w:rFonts w:ascii="楷体_GB2312" w:hAnsi="Times New Roman" w:eastAsia="楷体_GB2312" w:cs="Times New Roman"/>
          <w:sz w:val="32"/>
          <w:szCs w:val="32"/>
        </w:rPr>
      </w:pPr>
      <w:r>
        <w:rPr>
          <w:rFonts w:hint="eastAsia" w:ascii="楷体_GB2312" w:hAnsi="Times New Roman" w:eastAsia="楷体_GB2312" w:cs="Times New Roman"/>
          <w:sz w:val="32"/>
          <w:szCs w:val="32"/>
        </w:rPr>
        <w:t>出台依据</w:t>
      </w:r>
    </w:p>
    <w:p>
      <w:pPr>
        <w:pStyle w:val="30"/>
        <w:numPr>
          <w:ilvl w:val="0"/>
          <w:numId w:val="3"/>
        </w:numPr>
        <w:tabs>
          <w:tab w:val="left" w:pos="993"/>
        </w:tabs>
        <w:ind w:left="0"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《中华人民共和国土地管理法》；</w:t>
      </w:r>
    </w:p>
    <w:p>
      <w:pPr>
        <w:pStyle w:val="30"/>
        <w:numPr>
          <w:ilvl w:val="0"/>
          <w:numId w:val="3"/>
        </w:numPr>
        <w:tabs>
          <w:tab w:val="left" w:pos="993"/>
        </w:tabs>
        <w:ind w:left="0"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《中华人民共和国土地管理法实施条例》；</w:t>
      </w:r>
    </w:p>
    <w:p>
      <w:pPr>
        <w:pStyle w:val="30"/>
        <w:numPr>
          <w:ilvl w:val="0"/>
          <w:numId w:val="3"/>
        </w:numPr>
        <w:tabs>
          <w:tab w:val="left" w:pos="993"/>
        </w:tabs>
        <w:ind w:left="0"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《国有土地上房屋征收与补偿条例》（国务院令第590号）；</w:t>
      </w:r>
    </w:p>
    <w:p>
      <w:pPr>
        <w:pStyle w:val="30"/>
        <w:numPr>
          <w:ilvl w:val="0"/>
          <w:numId w:val="3"/>
        </w:numPr>
        <w:tabs>
          <w:tab w:val="left" w:pos="993"/>
        </w:tabs>
        <w:ind w:left="0"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《广东省土地管理条例》；</w:t>
      </w:r>
    </w:p>
    <w:p>
      <w:pPr>
        <w:pStyle w:val="30"/>
        <w:numPr>
          <w:ilvl w:val="0"/>
          <w:numId w:val="3"/>
        </w:numPr>
        <w:tabs>
          <w:tab w:val="left" w:pos="993"/>
        </w:tabs>
        <w:ind w:left="0"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《惠州市人民政府关于印发惠州市集体土地征收与补偿办法的通知》（惠府〔2025〕6号）；</w:t>
      </w:r>
    </w:p>
    <w:p>
      <w:pPr>
        <w:pStyle w:val="30"/>
        <w:numPr>
          <w:ilvl w:val="0"/>
          <w:numId w:val="3"/>
        </w:numPr>
        <w:tabs>
          <w:tab w:val="left" w:pos="993"/>
        </w:tabs>
        <w:ind w:left="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《惠州市自然资源局关于房屋征收实施房票安置的意见》（惠市自然资〔2025〕149号）。</w:t>
      </w:r>
    </w:p>
    <w:p>
      <w:pPr>
        <w:pStyle w:val="30"/>
        <w:numPr>
          <w:ilvl w:val="0"/>
          <w:numId w:val="1"/>
        </w:numPr>
        <w:tabs>
          <w:tab w:val="left" w:pos="1418"/>
        </w:tabs>
        <w:ind w:left="0" w:firstLine="640" w:firstLineChars="200"/>
        <w:outlineLvl w:val="0"/>
        <w:rPr>
          <w:rFonts w:ascii="黑体" w:hAnsi="黑体" w:eastAsia="黑体" w:cs="Times New Roman"/>
          <w:sz w:val="32"/>
          <w:szCs w:val="32"/>
        </w:rPr>
      </w:pPr>
      <w:r>
        <w:rPr>
          <w:rFonts w:hint="eastAsia" w:ascii="黑体" w:hAnsi="黑体" w:eastAsia="黑体" w:cs="Times New Roman"/>
          <w:sz w:val="32"/>
          <w:szCs w:val="32"/>
        </w:rPr>
        <w:t>主要内容</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实施细则》共有十六点。分别为总体原则、房票定义、适用范围、房票价值、房票登记、使用期限、房票奖励、可选房源、房源采集、房票使用规则、房票使用流程、房票挂失、补办、优惠政策、任务分工、工作机制保障及附则。</w:t>
      </w:r>
    </w:p>
    <w:p>
      <w:pPr>
        <w:pStyle w:val="30"/>
        <w:numPr>
          <w:ilvl w:val="0"/>
          <w:numId w:val="4"/>
        </w:numPr>
        <w:ind w:left="0" w:firstLine="640" w:firstLineChars="200"/>
        <w:outlineLvl w:val="1"/>
        <w:rPr>
          <w:rFonts w:hint="eastAsia" w:ascii="楷体_GB2312" w:hAnsi="Times New Roman" w:eastAsia="楷体_GB2312" w:cs="Times New Roman"/>
          <w:sz w:val="32"/>
          <w:szCs w:val="32"/>
        </w:rPr>
      </w:pPr>
      <w:r>
        <w:rPr>
          <w:rFonts w:hint="eastAsia" w:ascii="楷体_GB2312" w:hAnsi="Times New Roman" w:eastAsia="楷体_GB2312" w:cs="Times New Roman"/>
          <w:sz w:val="32"/>
          <w:szCs w:val="32"/>
        </w:rPr>
        <w:t>房票登记</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被征收人选择房票安置的，房屋征收实施单位应在被征收人签订补偿安置协议后10个工作日内完成房票发放工作。</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房票票面应注明房票编号、征收项目名称、房屋征收补偿协议编号、被征收人姓名、身份证号码、被征收房屋建筑面积、票面金额（包括权益金额和房票奖励金额）、开具日期、房票有效期以及房票使用规则等内容。</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房票实行实名制，核发对象为被征收人，在使用期限内不得抵押、质押、套现。</w:t>
      </w:r>
    </w:p>
    <w:p>
      <w:pPr>
        <w:pStyle w:val="30"/>
        <w:numPr>
          <w:ilvl w:val="0"/>
          <w:numId w:val="4"/>
        </w:numPr>
        <w:ind w:left="0" w:firstLine="640" w:firstLineChars="200"/>
        <w:outlineLvl w:val="1"/>
        <w:rPr>
          <w:rFonts w:ascii="楷体_GB2312" w:hAnsi="Times New Roman" w:eastAsia="楷体_GB2312" w:cs="Times New Roman"/>
          <w:sz w:val="32"/>
          <w:szCs w:val="32"/>
        </w:rPr>
      </w:pPr>
      <w:r>
        <w:rPr>
          <w:rFonts w:hint="eastAsia" w:ascii="楷体_GB2312" w:hAnsi="Times New Roman" w:eastAsia="楷体_GB2312" w:cs="Times New Roman"/>
          <w:sz w:val="32"/>
          <w:szCs w:val="32"/>
        </w:rPr>
        <w:t>房票奖励及规则</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房票使用人在房票使用期限内使用房票购买房屋并完成网签备案的，给予选择房票安置奖励和临时安置补助费奖励。</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1.选择房票安置奖励</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按经认定的被征收房屋建筑面积计算，每平方米900元，集体土地征收项目涉及住宅房屋每户最高奖励不得超43.2万元，国有土地上房屋征收项目每本房屋权属证书（不包含共有产权证书）最高奖励不得超43.2万元。</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2.临时安置补助费奖励</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按临时安置补助费计算标准，即按经认定的被征收房屋建筑面积和同区位、同类住宅房屋平均市场租金单价计算，一次性奖励12个月。</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3.房票奖励规则</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房票使用人在房票使用期限内兑付款项超过初始房票价值（含权益金额、选择房票安置奖励和临时安置补助费奖励）80%（含）的，房票奖励金额按如下规则计算：</w:t>
      </w:r>
    </w:p>
    <w:p>
      <w:pPr>
        <w:pStyle w:val="30"/>
        <w:numPr>
          <w:ilvl w:val="1"/>
          <w:numId w:val="5"/>
        </w:numPr>
        <w:tabs>
          <w:tab w:val="left" w:pos="1560"/>
        </w:tabs>
        <w:ind w:left="0"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出票之日起6个月内网签备案的，可按房票奖励金额给予100%奖励；</w:t>
      </w:r>
    </w:p>
    <w:p>
      <w:pPr>
        <w:pStyle w:val="30"/>
        <w:numPr>
          <w:ilvl w:val="1"/>
          <w:numId w:val="5"/>
        </w:numPr>
        <w:tabs>
          <w:tab w:val="left" w:pos="1560"/>
        </w:tabs>
        <w:ind w:left="0"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出票之日起9个月内网签备案的，可按房票奖励金额给予85%奖励；</w:t>
      </w:r>
    </w:p>
    <w:p>
      <w:pPr>
        <w:pStyle w:val="30"/>
        <w:numPr>
          <w:ilvl w:val="1"/>
          <w:numId w:val="5"/>
        </w:numPr>
        <w:tabs>
          <w:tab w:val="left" w:pos="1560"/>
        </w:tabs>
        <w:ind w:left="0"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出票之日起12个月内网签备案的，可按房票奖励金额给予70%奖励。</w:t>
      </w:r>
    </w:p>
    <w:p>
      <w:pPr>
        <w:pStyle w:val="30"/>
        <w:numPr>
          <w:ilvl w:val="1"/>
          <w:numId w:val="5"/>
        </w:numPr>
        <w:tabs>
          <w:tab w:val="left" w:pos="1560"/>
        </w:tabs>
        <w:ind w:left="0"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房票使用期限届满后，已使用房票价值未超过初始房票价值80%的，不给予房票奖励，按剩余权益金额予以兑付货币。</w:t>
      </w:r>
    </w:p>
    <w:p>
      <w:pPr>
        <w:pStyle w:val="30"/>
        <w:numPr>
          <w:ilvl w:val="0"/>
          <w:numId w:val="4"/>
        </w:numPr>
        <w:ind w:left="0" w:firstLine="640" w:firstLineChars="200"/>
        <w:outlineLvl w:val="1"/>
        <w:rPr>
          <w:rFonts w:hint="eastAsia" w:ascii="楷体_GB2312" w:hAnsi="Times New Roman" w:eastAsia="楷体_GB2312" w:cs="Times New Roman"/>
          <w:sz w:val="32"/>
          <w:szCs w:val="32"/>
        </w:rPr>
      </w:pPr>
      <w:r>
        <w:rPr>
          <w:rFonts w:hint="eastAsia" w:ascii="楷体_GB2312" w:hAnsi="Times New Roman" w:eastAsia="楷体_GB2312" w:cs="Times New Roman"/>
          <w:sz w:val="32"/>
          <w:szCs w:val="32"/>
        </w:rPr>
        <w:t>房源采集</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区住房和城乡建设局牵头负责通过公开方式采集房票安置房源。</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区住房和城乡建设局负责公开发布房源采集信息，将备选楼盘相关信息（包括楼盘名称、坐落和栋号、备选户型、备案价格等）在政府公众信息网上适时公布。同时，加大对房源提供单位市场销售行为的监管力度，督促房源提供单位将房票安置的备选房源信息（包括楼栋房号、户型、办理流程等）在售楼大厅进行公示。</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可选房源采集条件、采集程序、采集管理、房源信息的公开与更新等由区住房和城乡建设局牵头另行制定。</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房票使用人使用房票购买房源的，房源提供单位可低于房源销售备案价下限规定签约销售。</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房票使用人使用房票购买商品房的具体事宜，应自行与房源提供单位协商。</w:t>
      </w:r>
    </w:p>
    <w:p>
      <w:pPr>
        <w:pStyle w:val="30"/>
        <w:numPr>
          <w:ilvl w:val="0"/>
          <w:numId w:val="4"/>
        </w:numPr>
        <w:ind w:left="0" w:firstLine="640" w:firstLineChars="200"/>
        <w:outlineLvl w:val="1"/>
        <w:rPr>
          <w:rFonts w:ascii="Times New Roman" w:hAnsi="Times New Roman" w:eastAsia="仿宋_GB2312" w:cs="Times New Roman"/>
          <w:sz w:val="32"/>
          <w:szCs w:val="32"/>
        </w:rPr>
      </w:pPr>
      <w:r>
        <w:rPr>
          <w:rFonts w:hint="eastAsia" w:ascii="楷体_GB2312" w:hAnsi="Times New Roman" w:eastAsia="楷体_GB2312" w:cs="Times New Roman"/>
          <w:sz w:val="32"/>
          <w:szCs w:val="32"/>
        </w:rPr>
        <w:t>房票结算</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房票结算时，对房票使用人在房票有效期内购房的，按实际购房款（房票权益金额额度内）的5%给予额外的政策性奖励。额外的政策性奖励以货币方式发放给房票使用人（房屋征收补偿协议另有约定的除外）。</w:t>
      </w:r>
    </w:p>
    <w:p>
      <w:pPr>
        <w:pStyle w:val="30"/>
        <w:numPr>
          <w:ilvl w:val="0"/>
          <w:numId w:val="1"/>
        </w:numPr>
        <w:tabs>
          <w:tab w:val="left" w:pos="1418"/>
        </w:tabs>
        <w:ind w:left="0" w:firstLine="640" w:firstLineChars="200"/>
        <w:outlineLvl w:val="0"/>
        <w:rPr>
          <w:rFonts w:hint="eastAsia" w:ascii="黑体" w:hAnsi="黑体" w:eastAsia="黑体" w:cs="Times New Roman"/>
          <w:sz w:val="32"/>
          <w:szCs w:val="32"/>
        </w:rPr>
      </w:pPr>
      <w:r>
        <w:rPr>
          <w:rFonts w:hint="eastAsia" w:ascii="黑体" w:hAnsi="黑体" w:eastAsia="黑体" w:cs="Times New Roman"/>
          <w:sz w:val="32"/>
          <w:szCs w:val="32"/>
        </w:rPr>
        <w:t>涉及范围</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惠阳区行政区域范围内集体土地征收项目涉及住宅房屋和国有土地上房屋征收项目的房票安置，适用本实施细则。</w:t>
      </w:r>
    </w:p>
    <w:p>
      <w:pPr>
        <w:pStyle w:val="30"/>
        <w:numPr>
          <w:ilvl w:val="0"/>
          <w:numId w:val="1"/>
        </w:numPr>
        <w:tabs>
          <w:tab w:val="left" w:pos="1418"/>
        </w:tabs>
        <w:ind w:left="0" w:firstLine="640" w:firstLineChars="200"/>
        <w:outlineLvl w:val="0"/>
        <w:rPr>
          <w:rFonts w:hint="eastAsia" w:ascii="黑体" w:hAnsi="黑体" w:eastAsia="黑体" w:cs="Times New Roman"/>
          <w:sz w:val="32"/>
          <w:szCs w:val="32"/>
        </w:rPr>
      </w:pPr>
      <w:r>
        <w:rPr>
          <w:rFonts w:hint="eastAsia" w:ascii="黑体" w:hAnsi="黑体" w:eastAsia="黑体" w:cs="Times New Roman"/>
          <w:sz w:val="32"/>
          <w:szCs w:val="32"/>
        </w:rPr>
        <w:t>关键词诠释</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房票：是指房屋征收实施单位根据房屋征收与补偿的相关规定，将征收补偿权益量化后，向被征收人出具的在一定期限内用于购买房屋（包括住宅、商业、车位等）的结算凭证。</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权益金额：为被征收房屋货币补偿权益的量化，包括房屋建筑物及其所占用的土地使用权价值补偿、一次性签约补助[一次性签约补助按照《惠州市人民政府关于印发惠州市集体土地征收与补偿办法的通知》（惠府〔2025〕6号）的规定执行]。</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政府统筹房：区人民政府和区属国有企业（区经营集团、区城投集团等）投资的已建、在建房源，或收购的现售房源。</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市场商品房：房地产开发企业已办理首次登记或已取得预售许可证，且同意以房票结算的房源。</w:t>
      </w:r>
    </w:p>
    <w:p>
      <w:pPr>
        <w:pStyle w:val="30"/>
        <w:numPr>
          <w:ilvl w:val="0"/>
          <w:numId w:val="1"/>
        </w:numPr>
        <w:tabs>
          <w:tab w:val="left" w:pos="1418"/>
        </w:tabs>
        <w:ind w:left="0" w:firstLine="640" w:firstLineChars="200"/>
        <w:outlineLvl w:val="0"/>
        <w:rPr>
          <w:rFonts w:hint="eastAsia" w:ascii="黑体" w:hAnsi="黑体" w:eastAsia="黑体" w:cs="Times New Roman"/>
          <w:sz w:val="32"/>
          <w:szCs w:val="32"/>
        </w:rPr>
      </w:pPr>
      <w:r>
        <w:rPr>
          <w:rFonts w:hint="eastAsia" w:ascii="黑体" w:hAnsi="黑体" w:eastAsia="黑体" w:cs="Times New Roman"/>
          <w:sz w:val="32"/>
          <w:szCs w:val="32"/>
        </w:rPr>
        <w:t>新旧政策差异</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本《实施细则》属于新出台政策。</w:t>
      </w:r>
    </w:p>
    <w:p>
      <w:pPr>
        <w:pStyle w:val="30"/>
        <w:numPr>
          <w:ilvl w:val="0"/>
          <w:numId w:val="1"/>
        </w:numPr>
        <w:tabs>
          <w:tab w:val="left" w:pos="1418"/>
        </w:tabs>
        <w:ind w:left="0" w:firstLine="640" w:firstLineChars="200"/>
        <w:outlineLvl w:val="0"/>
        <w:rPr>
          <w:rFonts w:hint="eastAsia" w:ascii="黑体" w:hAnsi="黑体" w:eastAsia="黑体" w:cs="Times New Roman"/>
          <w:sz w:val="32"/>
          <w:szCs w:val="32"/>
        </w:rPr>
      </w:pPr>
      <w:r>
        <w:rPr>
          <w:rFonts w:hint="eastAsia" w:ascii="黑体" w:hAnsi="黑体" w:eastAsia="黑体" w:cs="Times New Roman"/>
          <w:sz w:val="32"/>
          <w:szCs w:val="32"/>
        </w:rPr>
        <w:t>解读单位和解读人</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解读单位：惠阳区自然资源局</w:t>
      </w:r>
    </w:p>
    <w:p>
      <w:pPr>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解读人：</w:t>
      </w:r>
      <w:r>
        <w:rPr>
          <w:rFonts w:hint="eastAsia" w:ascii="Times New Roman" w:hAnsi="Times New Roman" w:eastAsia="仿宋_GB2312" w:cs="Times New Roman"/>
          <w:sz w:val="32"/>
          <w:szCs w:val="32"/>
          <w:lang w:val="en-US" w:eastAsia="zh-CN"/>
        </w:rPr>
        <w:t>高家慧</w:t>
      </w:r>
    </w:p>
    <w:p>
      <w:pPr>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联系电话：0752-</w:t>
      </w:r>
      <w:r>
        <w:rPr>
          <w:rFonts w:hint="eastAsia" w:ascii="Times New Roman" w:hAnsi="Times New Roman" w:eastAsia="仿宋_GB2312" w:cs="Times New Roman"/>
          <w:sz w:val="32"/>
          <w:szCs w:val="32"/>
          <w:lang w:val="en-US" w:eastAsia="zh-CN"/>
        </w:rPr>
        <w:t>3369639</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w:t>
    </w:r>
    <w:r>
      <w:rPr>
        <w:rFonts w:ascii="Times New Roman" w:hAnsi="Times New Roman" w:cs="Times New Roman"/>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10737"/>
    <w:multiLevelType w:val="multilevel"/>
    <w:tmpl w:val="07310737"/>
    <w:lvl w:ilvl="0" w:tentative="0">
      <w:start w:val="1"/>
      <w:numFmt w:val="chineseCountingThousand"/>
      <w:lvlText w:val="（%1）"/>
      <w:lvlJc w:val="left"/>
      <w:pPr>
        <w:ind w:left="1080" w:hanging="440"/>
      </w:pPr>
      <w:rPr>
        <w:rFonts w:hint="eastAsia" w:ascii="楷体_GB2312" w:eastAsia="楷体_GB2312"/>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1">
    <w:nsid w:val="25086BF1"/>
    <w:multiLevelType w:val="multilevel"/>
    <w:tmpl w:val="25086BF1"/>
    <w:lvl w:ilvl="0" w:tentative="0">
      <w:start w:val="1"/>
      <w:numFmt w:val="decimal"/>
      <w:lvlText w:val="%1."/>
      <w:lvlJc w:val="left"/>
      <w:pPr>
        <w:ind w:left="1080" w:hanging="440"/>
      </w:p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2">
    <w:nsid w:val="26BE0269"/>
    <w:multiLevelType w:val="multilevel"/>
    <w:tmpl w:val="26BE0269"/>
    <w:lvl w:ilvl="0" w:tentative="0">
      <w:start w:val="1"/>
      <w:numFmt w:val="chineseCountingThousand"/>
      <w:lvlText w:val="%1、"/>
      <w:lvlJc w:val="left"/>
      <w:pPr>
        <w:ind w:left="1080" w:hanging="440"/>
      </w:pPr>
      <w:rPr>
        <w:rFonts w:hint="eastAsia"/>
      </w:rPr>
    </w:lvl>
    <w:lvl w:ilvl="1" w:tentative="0">
      <w:start w:val="1"/>
      <w:numFmt w:val="decimal"/>
      <w:lvlText w:val="%2."/>
      <w:lvlJc w:val="left"/>
      <w:pPr>
        <w:ind w:left="1440" w:hanging="360"/>
      </w:pPr>
      <w:rPr>
        <w:rFonts w:hint="default"/>
      </w:r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3">
    <w:nsid w:val="6836305A"/>
    <w:multiLevelType w:val="multilevel"/>
    <w:tmpl w:val="6836305A"/>
    <w:lvl w:ilvl="0" w:tentative="0">
      <w:start w:val="1"/>
      <w:numFmt w:val="chineseCountingThousand"/>
      <w:lvlText w:val="（%1）"/>
      <w:lvlJc w:val="left"/>
      <w:pPr>
        <w:ind w:left="1080" w:hanging="440"/>
      </w:pPr>
      <w:rPr>
        <w:rFonts w:hint="eastAsia"/>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4">
    <w:nsid w:val="6EDC4BCF"/>
    <w:multiLevelType w:val="multilevel"/>
    <w:tmpl w:val="6EDC4BCF"/>
    <w:lvl w:ilvl="0" w:tentative="0">
      <w:start w:val="1"/>
      <w:numFmt w:val="lowerLetter"/>
      <w:lvlText w:val="（%1）"/>
      <w:lvlJc w:val="left"/>
      <w:pPr>
        <w:ind w:left="440" w:hanging="440"/>
      </w:pPr>
      <w:rPr>
        <w:rFonts w:hint="eastAsia"/>
      </w:rPr>
    </w:lvl>
    <w:lvl w:ilvl="1" w:tentative="0">
      <w:start w:val="1"/>
      <w:numFmt w:val="decimal"/>
      <w:lvlText w:val="（%2）"/>
      <w:lvlJc w:val="left"/>
      <w:pPr>
        <w:ind w:left="880" w:hanging="440"/>
      </w:pPr>
      <w:rPr>
        <w:rFonts w:hint="eastAsia"/>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E0D"/>
    <w:rsid w:val="000808B8"/>
    <w:rsid w:val="000A3E1B"/>
    <w:rsid w:val="002C0F5F"/>
    <w:rsid w:val="002F4C5C"/>
    <w:rsid w:val="00712E0D"/>
    <w:rsid w:val="007378FC"/>
    <w:rsid w:val="00792C01"/>
    <w:rsid w:val="00B63559"/>
    <w:rsid w:val="00BB3D4F"/>
    <w:rsid w:val="00E93748"/>
    <w:rsid w:val="314E00E6"/>
    <w:rsid w:val="57E92976"/>
    <w:rsid w:val="7D904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2"/>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3"/>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jc w:val="left"/>
    </w:pPr>
    <w:rPr>
      <w:sz w:val="18"/>
      <w:szCs w:val="18"/>
    </w:rPr>
  </w:style>
  <w:style w:type="paragraph" w:styleId="12">
    <w:name w:val="header"/>
    <w:basedOn w:val="1"/>
    <w:link w:val="35"/>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qFormat/>
    <w:uiPriority w:val="9"/>
    <w:rPr>
      <w:rFonts w:asciiTheme="majorHAnsi" w:hAnsiTheme="majorHAnsi" w:eastAsiaTheme="majorEastAsia" w:cstheme="majorBidi"/>
      <w:color w:val="104862" w:themeColor="accent1" w:themeShade="BF"/>
      <w:sz w:val="48"/>
      <w:szCs w:val="48"/>
    </w:rPr>
  </w:style>
  <w:style w:type="character" w:customStyle="1" w:styleId="18">
    <w:name w:val="标题 2 字符"/>
    <w:basedOn w:val="16"/>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0">
    <w:name w:val="标题 4 字符"/>
    <w:basedOn w:val="16"/>
    <w:link w:val="5"/>
    <w:semiHidden/>
    <w:qFormat/>
    <w:uiPriority w:val="9"/>
    <w:rPr>
      <w:rFonts w:cstheme="majorBidi"/>
      <w:color w:val="104862" w:themeColor="accent1" w:themeShade="BF"/>
      <w:sz w:val="28"/>
      <w:szCs w:val="28"/>
    </w:rPr>
  </w:style>
  <w:style w:type="character" w:customStyle="1" w:styleId="21">
    <w:name w:val="标题 5 字符"/>
    <w:basedOn w:val="16"/>
    <w:link w:val="6"/>
    <w:semiHidden/>
    <w:qFormat/>
    <w:uiPriority w:val="9"/>
    <w:rPr>
      <w:rFonts w:cstheme="majorBidi"/>
      <w:color w:val="104862" w:themeColor="accent1" w:themeShade="BF"/>
      <w:sz w:val="24"/>
      <w:szCs w:val="24"/>
    </w:rPr>
  </w:style>
  <w:style w:type="character" w:customStyle="1" w:styleId="22">
    <w:name w:val="标题 6 字符"/>
    <w:basedOn w:val="16"/>
    <w:link w:val="7"/>
    <w:semiHidden/>
    <w:qFormat/>
    <w:uiPriority w:val="9"/>
    <w:rPr>
      <w:rFonts w:cstheme="majorBidi"/>
      <w:b/>
      <w:bCs/>
      <w:color w:val="104862"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明显引用 字符"/>
    <w:basedOn w:val="16"/>
    <w:link w:val="32"/>
    <w:qFormat/>
    <w:uiPriority w:val="30"/>
    <w:rPr>
      <w:i/>
      <w:iCs/>
      <w:color w:val="104862" w:themeColor="accent1" w:themeShade="BF"/>
    </w:rPr>
  </w:style>
  <w:style w:type="character" w:customStyle="1" w:styleId="34">
    <w:name w:val="Intense Reference"/>
    <w:basedOn w:val="16"/>
    <w:qFormat/>
    <w:uiPriority w:val="32"/>
    <w:rPr>
      <w:b/>
      <w:bCs/>
      <w:smallCaps/>
      <w:color w:val="104862"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326</Words>
  <Characters>1864</Characters>
  <Lines>15</Lines>
  <Paragraphs>4</Paragraphs>
  <TotalTime>63</TotalTime>
  <ScaleCrop>false</ScaleCrop>
  <LinksUpToDate>false</LinksUpToDate>
  <CharactersWithSpaces>2186</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2025-03-31T10:36:00Z</dcterms:created>
  <dc:creator>HQ Li</dc:creator>
  <cp:lastModifiedBy>高家慧</cp:lastModifiedBy>
  <dcterms:modified xsi:type="dcterms:W3CDTF">2025-04-01T02:47:14Z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15661D43F0584FFB8C1221CE0396A431</vt:lpwstr>
  </property>
</Properties>
</file>