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rPr>
          <w:rFonts w:hint="eastAsia" w:ascii="方正小标宋_GBK" w:hAnsi="方正小标宋_GBK" w:eastAsia="方正小标宋_GBK" w:cs="方正小标宋_GBK"/>
          <w:b w:val="0"/>
          <w:bCs w:val="0"/>
          <w:color w:val="auto"/>
          <w:sz w:val="44"/>
          <w:szCs w:val="44"/>
          <w:highlight w:val="none"/>
        </w:rPr>
      </w:pP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关于《惠州市惠阳区自然资源局关于惠阳区解决不动产登记若干历史遗留问题</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实施意见》（修订稿）的解读</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highlight w:val="none"/>
        </w:rPr>
        <w:t>为妥善解决我区在实施不动产登记中发现的</w:t>
      </w:r>
      <w:r>
        <w:rPr>
          <w:rFonts w:hint="eastAsia" w:ascii="仿宋_GB2312" w:hAnsi="仿宋_GB2312" w:eastAsia="仿宋_GB2312" w:cs="仿宋_GB2312"/>
          <w:b w:val="0"/>
          <w:bCs w:val="0"/>
          <w:color w:val="auto"/>
          <w:sz w:val="32"/>
          <w:szCs w:val="32"/>
          <w:highlight w:val="none"/>
          <w:lang w:eastAsia="zh-CN"/>
        </w:rPr>
        <w:t>若干</w:t>
      </w:r>
      <w:r>
        <w:rPr>
          <w:rFonts w:hint="eastAsia" w:ascii="仿宋_GB2312" w:hAnsi="仿宋_GB2312" w:eastAsia="仿宋_GB2312" w:cs="仿宋_GB2312"/>
          <w:b w:val="0"/>
          <w:bCs w:val="0"/>
          <w:color w:val="auto"/>
          <w:sz w:val="32"/>
          <w:szCs w:val="32"/>
          <w:highlight w:val="none"/>
        </w:rPr>
        <w:t>历史遗留问题，</w:t>
      </w:r>
      <w:r>
        <w:rPr>
          <w:rFonts w:hint="eastAsia" w:ascii="仿宋_GB2312" w:hAnsi="仿宋_GB2312" w:eastAsia="仿宋_GB2312" w:cs="仿宋_GB2312"/>
          <w:b w:val="0"/>
          <w:bCs w:val="0"/>
          <w:color w:val="auto"/>
          <w:sz w:val="32"/>
          <w:szCs w:val="32"/>
          <w:highlight w:val="none"/>
          <w:lang w:eastAsia="zh-CN"/>
        </w:rPr>
        <w:t>保护权利人合法</w:t>
      </w:r>
      <w:r>
        <w:rPr>
          <w:rFonts w:hint="eastAsia" w:ascii="仿宋_GB2312" w:hAnsi="仿宋_GB2312" w:eastAsia="仿宋_GB2312" w:cs="仿宋_GB2312"/>
          <w:b w:val="0"/>
          <w:bCs w:val="0"/>
          <w:color w:val="auto"/>
          <w:sz w:val="32"/>
          <w:szCs w:val="32"/>
          <w:highlight w:val="none"/>
        </w:rPr>
        <w:t>利益，</w:t>
      </w:r>
      <w:r>
        <w:rPr>
          <w:rFonts w:hint="eastAsia" w:ascii="仿宋_GB2312" w:hAnsi="仿宋_GB2312" w:eastAsia="仿宋_GB2312" w:cs="仿宋_GB2312"/>
          <w:b w:val="0"/>
          <w:bCs w:val="0"/>
          <w:color w:val="auto"/>
          <w:sz w:val="32"/>
          <w:szCs w:val="32"/>
          <w:highlight w:val="none"/>
          <w:lang w:eastAsia="zh-CN"/>
        </w:rPr>
        <w:t>本着</w:t>
      </w:r>
      <w:r>
        <w:rPr>
          <w:rFonts w:hint="eastAsia" w:ascii="仿宋_GB2312" w:hAnsi="仿宋_GB2312" w:eastAsia="仿宋_GB2312" w:cs="仿宋_GB2312"/>
          <w:b w:val="0"/>
          <w:bCs w:val="0"/>
          <w:color w:val="auto"/>
          <w:sz w:val="32"/>
          <w:szCs w:val="32"/>
          <w:highlight w:val="none"/>
        </w:rPr>
        <w:t>尊重历史、</w:t>
      </w:r>
      <w:r>
        <w:rPr>
          <w:rFonts w:hint="eastAsia" w:ascii="仿宋_GB2312" w:hAnsi="仿宋_GB2312" w:eastAsia="仿宋_GB2312" w:cs="仿宋_GB2312"/>
          <w:b w:val="0"/>
          <w:bCs w:val="0"/>
          <w:color w:val="auto"/>
          <w:sz w:val="32"/>
          <w:szCs w:val="32"/>
          <w:highlight w:val="none"/>
          <w:lang w:eastAsia="zh-CN"/>
        </w:rPr>
        <w:t>实事求是、</w:t>
      </w:r>
      <w:r>
        <w:rPr>
          <w:rFonts w:hint="eastAsia" w:ascii="仿宋_GB2312" w:hAnsi="仿宋_GB2312" w:eastAsia="仿宋_GB2312" w:cs="仿宋_GB2312"/>
          <w:b w:val="0"/>
          <w:bCs w:val="0"/>
          <w:color w:val="auto"/>
          <w:sz w:val="32"/>
          <w:szCs w:val="32"/>
          <w:highlight w:val="none"/>
        </w:rPr>
        <w:t>便民利民</w:t>
      </w:r>
      <w:r>
        <w:rPr>
          <w:rFonts w:hint="eastAsia" w:ascii="仿宋_GB2312" w:hAnsi="仿宋_GB2312" w:eastAsia="仿宋_GB2312" w:cs="仿宋_GB2312"/>
          <w:b w:val="0"/>
          <w:bCs w:val="0"/>
          <w:color w:val="auto"/>
          <w:sz w:val="32"/>
          <w:szCs w:val="32"/>
          <w:highlight w:val="none"/>
          <w:lang w:eastAsia="zh-CN"/>
        </w:rPr>
        <w:t>、简化办事程序、依法登记的原则</w:t>
      </w:r>
      <w:r>
        <w:rPr>
          <w:rFonts w:hint="eastAsia" w:ascii="仿宋_GB2312" w:hAnsi="仿宋_GB2312" w:eastAsia="仿宋_GB2312" w:cs="仿宋_GB2312"/>
          <w:b w:val="0"/>
          <w:bCs w:val="0"/>
          <w:color w:val="auto"/>
          <w:sz w:val="32"/>
          <w:szCs w:val="32"/>
          <w:highlight w:val="none"/>
        </w:rPr>
        <w:t>，根据</w:t>
      </w:r>
      <w:r>
        <w:rPr>
          <w:rFonts w:hint="eastAsia" w:ascii="仿宋_GB2312" w:hAnsi="仿宋_GB2312" w:eastAsia="仿宋_GB2312" w:cs="仿宋_GB2312"/>
          <w:b w:val="0"/>
          <w:bCs w:val="0"/>
          <w:color w:val="auto"/>
          <w:sz w:val="32"/>
          <w:szCs w:val="32"/>
          <w:highlight w:val="none"/>
          <w:lang w:eastAsia="zh-CN"/>
        </w:rPr>
        <w:t>《中华人民共和国</w:t>
      </w:r>
      <w:r>
        <w:rPr>
          <w:rFonts w:hint="eastAsia" w:ascii="仿宋_GB2312" w:hAnsi="仿宋_GB2312" w:eastAsia="仿宋_GB2312" w:cs="仿宋_GB2312"/>
          <w:b w:val="0"/>
          <w:bCs w:val="0"/>
          <w:color w:val="auto"/>
          <w:sz w:val="32"/>
          <w:szCs w:val="32"/>
          <w:highlight w:val="none"/>
          <w:lang w:val="en-US" w:eastAsia="zh-CN"/>
        </w:rPr>
        <w:t>民法典</w:t>
      </w:r>
      <w:r>
        <w:rPr>
          <w:rFonts w:hint="eastAsia" w:ascii="仿宋_GB2312" w:hAnsi="仿宋_GB2312" w:eastAsia="仿宋_GB2312" w:cs="仿宋_GB2312"/>
          <w:b w:val="0"/>
          <w:bCs w:val="0"/>
          <w:color w:val="auto"/>
          <w:sz w:val="32"/>
          <w:szCs w:val="32"/>
          <w:highlight w:val="none"/>
          <w:lang w:eastAsia="zh-CN"/>
        </w:rPr>
        <w:t>》《中华人民共和国土地管理法》《</w:t>
      </w:r>
      <w:r>
        <w:rPr>
          <w:rFonts w:hint="eastAsia" w:ascii="仿宋_GB2312" w:hAnsi="仿宋_GB2312" w:eastAsia="仿宋_GB2312" w:cs="仿宋_GB2312"/>
          <w:b w:val="0"/>
          <w:bCs w:val="0"/>
          <w:color w:val="auto"/>
          <w:sz w:val="32"/>
          <w:szCs w:val="32"/>
          <w:highlight w:val="none"/>
        </w:rPr>
        <w:t>中华人民共和国城镇国有土地使用权出让和转让暂行条例</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《不动产登记暂行条例》《不动产登记暂行条例实施细则》</w:t>
      </w:r>
      <w:r>
        <w:rPr>
          <w:rFonts w:hint="eastAsia" w:ascii="仿宋_GB2312" w:hAnsi="仿宋_GB2312" w:eastAsia="仿宋_GB2312" w:cs="仿宋_GB2312"/>
          <w:b w:val="0"/>
          <w:bCs w:val="0"/>
          <w:color w:val="auto"/>
          <w:sz w:val="32"/>
          <w:szCs w:val="32"/>
          <w:highlight w:val="none"/>
          <w:lang w:val="en-US" w:eastAsia="zh-CN"/>
        </w:rPr>
        <w:t>等</w:t>
      </w:r>
      <w:r>
        <w:rPr>
          <w:rFonts w:hint="eastAsia" w:ascii="仿宋_GB2312" w:hAnsi="仿宋_GB2312" w:eastAsia="仿宋_GB2312" w:cs="仿宋_GB2312"/>
          <w:b w:val="0"/>
          <w:bCs w:val="0"/>
          <w:color w:val="auto"/>
          <w:sz w:val="32"/>
          <w:szCs w:val="32"/>
          <w:highlight w:val="none"/>
        </w:rPr>
        <w:t>相关规定，结合我区实际</w:t>
      </w:r>
      <w:r>
        <w:rPr>
          <w:rFonts w:hint="eastAsia" w:ascii="仿宋_GB2312" w:hAnsi="仿宋_GB2312" w:eastAsia="仿宋_GB2312" w:cs="仿宋_GB2312"/>
          <w:b w:val="0"/>
          <w:bCs w:val="0"/>
          <w:color w:val="auto"/>
          <w:sz w:val="32"/>
          <w:szCs w:val="32"/>
          <w:highlight w:val="none"/>
          <w:lang w:eastAsia="zh-CN"/>
        </w:rPr>
        <w:t>，区自然资源局在</w:t>
      </w:r>
      <w:r>
        <w:rPr>
          <w:rFonts w:hint="eastAsia" w:ascii="仿宋_GB2312" w:hAnsi="仿宋_GB2312" w:eastAsia="仿宋_GB2312" w:cs="仿宋_GB2312"/>
          <w:b w:val="0"/>
          <w:bCs w:val="0"/>
          <w:color w:val="auto"/>
          <w:sz w:val="32"/>
          <w:szCs w:val="32"/>
          <w:highlight w:val="none"/>
          <w:lang w:val="en-US" w:eastAsia="zh-CN"/>
        </w:rPr>
        <w:t>2022年印发《惠州市惠阳区自然资源局关于惠阳区解决不动产登记若干历史遗留问题实施意见》（下称“实施意见”），该实施意见将于今年6月25日到期，现根据《实施意见》3年实施情况拟定《惠州市惠阳区自然资源局关于惠阳区解决不动产登记若干历史遗留问题实施意见》（修订稿）。</w:t>
      </w:r>
    </w:p>
    <w:p>
      <w:pPr>
        <w:keepNext w:val="0"/>
        <w:keepLines w:val="0"/>
        <w:pageBreakBefore w:val="0"/>
        <w:widowControl/>
        <w:numPr>
          <w:ilvl w:val="0"/>
          <w:numId w:val="1"/>
        </w:numPr>
        <w:kinsoku/>
        <w:wordWrap/>
        <w:overflowPunct/>
        <w:topLinePunct w:val="0"/>
        <w:autoSpaceDE/>
        <w:autoSpaceDN/>
        <w:bidi w:val="0"/>
        <w:adjustRightInd w:val="0"/>
        <w:snapToGrid w:val="0"/>
        <w:spacing w:line="240" w:lineRule="auto"/>
        <w:ind w:left="20" w:leftChars="0" w:firstLine="640" w:firstLine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出台背景和依据</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（一）出台背景</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为妥善解决惠阳区在实施不动产登记过程中发现的若干历史遗留问题，保护权利人合法权益，依据国家和地方相关法律法规及政策文件，结合惠阳区实际情况，于2022年制定印发</w:t>
      </w:r>
      <w:r>
        <w:rPr>
          <w:rFonts w:hint="eastAsia" w:ascii="仿宋_GB2312" w:hAnsi="仿宋_GB2312" w:eastAsia="仿宋_GB2312" w:cs="仿宋_GB2312"/>
          <w:b w:val="0"/>
          <w:bCs w:val="0"/>
          <w:color w:val="auto"/>
          <w:sz w:val="32"/>
          <w:szCs w:val="32"/>
          <w:highlight w:val="none"/>
          <w:lang w:val="en-US" w:eastAsia="zh-CN"/>
        </w:rPr>
        <w:t>《惠州市惠阳区自然资源局关于惠阳区解决不动产登记若干历史遗留问题实施意见》，现该实施意见即将到期，根据3年实施情况，拟定</w:t>
      </w:r>
      <w:bookmarkStart w:id="0" w:name="_GoBack"/>
      <w:bookmarkEnd w:id="0"/>
      <w:r>
        <w:rPr>
          <w:rFonts w:hint="eastAsia" w:ascii="仿宋_GB2312" w:hAnsi="仿宋_GB2312" w:eastAsia="仿宋_GB2312" w:cs="仿宋_GB2312"/>
          <w:b w:val="0"/>
          <w:bCs w:val="0"/>
          <w:color w:val="auto"/>
          <w:sz w:val="32"/>
          <w:szCs w:val="32"/>
          <w:highlight w:val="none"/>
          <w:lang w:val="en-US" w:eastAsia="zh-CN"/>
        </w:rPr>
        <w:t>《惠州市惠阳区自然资源局关于惠阳区解决不动产登记若干历史遗留问题实施意见》（修订稿）</w:t>
      </w:r>
      <w:r>
        <w:rPr>
          <w:rFonts w:hint="eastAsia" w:ascii="仿宋_GB2312" w:hAnsi="仿宋_GB2312" w:eastAsia="仿宋_GB2312" w:cs="仿宋_GB2312"/>
          <w:sz w:val="32"/>
          <w:szCs w:val="32"/>
          <w:lang w:val="en-US" w:eastAsia="zh-CN"/>
        </w:rPr>
        <w:t>。</w:t>
      </w:r>
    </w:p>
    <w:p>
      <w:pPr>
        <w:keepNext w:val="0"/>
        <w:keepLines w:val="0"/>
        <w:pageBreakBefore w:val="0"/>
        <w:widowControl/>
        <w:numPr>
          <w:ilvl w:val="0"/>
          <w:numId w:val="2"/>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出台依据</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lang w:eastAsia="zh-CN"/>
        </w:rPr>
        <w:t>《中华人民共和国土地管理法》</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中华人民共和国城镇国有土地使用权出让和转让暂行条例</w:t>
      </w:r>
      <w:r>
        <w:rPr>
          <w:rFonts w:hint="eastAsia" w:ascii="仿宋_GB2312" w:hAnsi="仿宋_GB2312" w:eastAsia="仿宋_GB2312" w:cs="仿宋_GB2312"/>
          <w:b w:val="0"/>
          <w:bCs w:val="0"/>
          <w:color w:val="auto"/>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rPr>
        <w:t>《不动产登记暂行条例》</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《不动产登记暂行条例实施细则》</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5.</w:t>
      </w:r>
      <w:r>
        <w:rPr>
          <w:rFonts w:hint="eastAsia" w:ascii="仿宋_GB2312" w:hAnsi="仿宋_GB2312" w:eastAsia="仿宋_GB2312" w:cs="仿宋_GB2312"/>
          <w:b w:val="0"/>
          <w:bCs w:val="0"/>
          <w:color w:val="auto"/>
          <w:sz w:val="32"/>
          <w:szCs w:val="32"/>
          <w:highlight w:val="none"/>
          <w:lang w:eastAsia="zh-CN"/>
        </w:rPr>
        <w:t>《自然资源部关于加快解决不动产登记若干历史遗留问题的通知》（自然资发〔2021〕1号）</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广东省自然资源厅关于印发加快处理不动产登记历史遗留问题指导意见的通知</w:t>
      </w:r>
      <w:r>
        <w:rPr>
          <w:rFonts w:hint="eastAsia" w:ascii="仿宋_GB2312" w:hAnsi="仿宋_GB2312" w:eastAsia="仿宋_GB2312" w:cs="仿宋_GB2312"/>
          <w:b w:val="0"/>
          <w:bCs w:val="0"/>
          <w:color w:val="auto"/>
          <w:sz w:val="32"/>
          <w:szCs w:val="32"/>
          <w:highlight w:val="none"/>
          <w:lang w:eastAsia="zh-CN"/>
        </w:rPr>
        <w:t>》（粤自然资规字</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eastAsia="zh-CN"/>
        </w:rPr>
        <w:t>2018</w:t>
      </w:r>
      <w:r>
        <w:rPr>
          <w:rFonts w:hint="eastAsia" w:ascii="仿宋_GB2312" w:hAnsi="仿宋_GB2312" w:eastAsia="仿宋_GB2312" w:cs="仿宋_GB2312"/>
          <w:b w:val="0"/>
          <w:bCs w:val="0"/>
          <w:color w:val="auto"/>
          <w:sz w:val="32"/>
          <w:szCs w:val="32"/>
          <w:highlight w:val="none"/>
          <w:lang w:val="en-US" w:eastAsia="zh-CN"/>
        </w:rPr>
        <w:t>〕5号</w:t>
      </w:r>
      <w:r>
        <w:rPr>
          <w:rFonts w:hint="eastAsia" w:ascii="仿宋_GB2312" w:hAnsi="仿宋_GB2312" w:eastAsia="仿宋_GB2312" w:cs="仿宋_GB2312"/>
          <w:b w:val="0"/>
          <w:bCs w:val="0"/>
          <w:color w:val="auto"/>
          <w:sz w:val="32"/>
          <w:szCs w:val="32"/>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b w:val="0"/>
          <w:bCs w:val="0"/>
          <w:color w:val="auto"/>
          <w:sz w:val="32"/>
          <w:szCs w:val="32"/>
          <w:highlight w:val="none"/>
          <w:lang w:val="en-US" w:eastAsia="zh-CN"/>
        </w:rPr>
        <w:t>7.《关于贯彻执行〈广东省自然资源厅关于加快处理不动产登记历史遗留问题的指导意见〉的通知》（惠阳府办〔</w:t>
      </w:r>
      <w:r>
        <w:rPr>
          <w:rFonts w:hint="eastAsia" w:ascii="仿宋_GB2312" w:hAnsi="仿宋_GB2312" w:eastAsia="仿宋_GB2312" w:cs="仿宋_GB2312"/>
          <w:b w:val="0"/>
          <w:bCs w:val="0"/>
          <w:color w:val="auto"/>
          <w:sz w:val="32"/>
          <w:szCs w:val="32"/>
          <w:highlight w:val="none"/>
          <w:lang w:eastAsia="zh-CN"/>
        </w:rPr>
        <w:t>2019</w:t>
      </w:r>
      <w:r>
        <w:rPr>
          <w:rFonts w:hint="eastAsia" w:ascii="仿宋_GB2312" w:hAnsi="仿宋_GB2312" w:eastAsia="仿宋_GB2312" w:cs="仿宋_GB2312"/>
          <w:b w:val="0"/>
          <w:bCs w:val="0"/>
          <w:color w:val="auto"/>
          <w:sz w:val="32"/>
          <w:szCs w:val="32"/>
          <w:highlight w:val="none"/>
          <w:lang w:val="en-US" w:eastAsia="zh-CN"/>
        </w:rPr>
        <w:t>〕18号）</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二、主要内容</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（一）适用范围</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时间范围：适用于2016年6月30日前惠阳区国有土地范围内不动产登记历史遗留问题的处理。</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土地类型：仅适用于国有土地，集体土地不适用。</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（二）商品房、公有住房（包括房改房、单位福利房）登记问题</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国有划拨土地转让登记：</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1.补缴土地出让金：按房产评估价格的1%计收，土地出让年限统一为住宅用地70年，商业用地40年。</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 2.保留原划拨性质：未发生实质性交易的登记（如遗失补办、继承、抵押登记、离婚析产）可保留原划拨土地性质，转移登记时再补缴土地出让金。</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用地手续不完善：</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1.土地用途确定：依据房屋登记用途确定，土地参照“划拨”管理。</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2.补缴土地出让金：转移登记时按房产评估价格的1%计收，土地出让年限同上。</w:t>
      </w:r>
    </w:p>
    <w:p>
      <w:pPr>
        <w:keepNext w:val="0"/>
        <w:keepLines w:val="0"/>
        <w:pageBreakBefore w:val="0"/>
        <w:widowControl/>
        <w:numPr>
          <w:ilvl w:val="0"/>
          <w:numId w:val="3"/>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原开发商名下土地使用权被查封</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购房人已取得房屋所有权证：可办理不动产转移登记和抵押登记。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购房人已办理预购商品房预告登记：开发商办理首次登记后，可办理商品房转移登记及抵押预告登记转为抵押权登记。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（四）房屋所有权与土地使用权权利主体不一致</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 双方共同申请：注销原土地使用权登记及证书，办理房屋、土地权利主体一致的不动产登记。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 xml:space="preserve"> 单方申请：出具具结书并公告无异议后，办理房屋、土地权利主体一致的不动产登记。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（五）工业项目抵押登记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国有工业用地抵押：参照《广东省人民政府办公厅印发关于深化工业用地市场化配置改革若干措施的通知》执行。</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超宗建筑物或未取得产权证建筑物：不予办理不动产抵押登记，仅可对宗地内的土地使用权和取得房屋所有权证建筑物办理抵押登记。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（六）自建住房登记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1987年1月1日之前已建成房屋：视为具有土地权属来源的划拨土地，按现状测绘落宗及办理不动产登记。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1987年1月1日至2016年6月30日期间建成房屋：按现状测绘落宗，经核实土地权利清晰、无争议，补偿已落实到位的，可以协议出让方式完善土地使用权手续。</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（七）惠阳区属行政事业单位不动产登记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已取得用地手续，地上房屋无报建手续：只登记土地使用权，不登记房产权利。</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地上房屋已取得报建手续，未取得土地批准文件：按划拨方式办理用地手续后，核发房地一体的不动产权证书。</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用地及房屋均无相关审批手续：</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1987年1月1日前建成房屋：按划拨方式办理用地手续后进行不动产登记。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1987年1月1日至2016年6月30日期间建成房屋：按划拨方式办理用地手续后进行不动产登记。</w:t>
      </w:r>
    </w:p>
    <w:p>
      <w:pPr>
        <w:keepNext w:val="0"/>
        <w:keepLines w:val="0"/>
        <w:pageBreakBefore w:val="0"/>
        <w:widowControl/>
        <w:numPr>
          <w:ilvl w:val="0"/>
          <w:numId w:val="4"/>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其他登记类型</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个人住宅用地功能批准为商业或商铺：按照《建设工程规划许可证》附件中《报建功能登记表》的房屋使用功能办理不动产登记。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已建房屋有国有土地使用权证书但无房屋所有权证：因继承或生效法律文书申请不动产登记的，可先行办理土地使用权继承或协助人民法院登记。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不动产建筑层数、占地等情况与不动产登记簿不一致：按原登记权利状况先行办理相关继承或协助人民法院登记。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自建房房屋所有权证与国有土地使用权证书登记用途不一致：继续分别按照原记载的房屋、土地用途进行登记。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已确权登记在开发商名下的房产：需由开发商申请完善用地手续后再办理不动产登记。</w:t>
      </w: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商品房、公有住房及其他已分层分套的房产：土地使用权人仍登记在原开发建设单位名下的，在办理不动产统一登记时应注销原土地使用权登记信息。</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660" w:leftChars="0"/>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color w:val="auto"/>
          <w:sz w:val="32"/>
          <w:szCs w:val="32"/>
          <w:lang w:val="en-US" w:eastAsia="zh-CN"/>
        </w:rPr>
        <w:t>三、新旧政策差异</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color w:val="auto"/>
          <w:sz w:val="32"/>
          <w:szCs w:val="32"/>
          <w:lang w:val="en-US" w:eastAsia="zh-CN"/>
        </w:rPr>
        <w:t>实施意见（修改稿）把</w:t>
      </w:r>
      <w:r>
        <w:rPr>
          <w:rFonts w:hint="eastAsia" w:ascii="仿宋_GB2312" w:hAnsi="仿宋_GB2312" w:eastAsia="仿宋_GB2312" w:cs="仿宋_GB2312"/>
          <w:b w:val="0"/>
          <w:bCs w:val="0"/>
          <w:color w:val="auto"/>
          <w:sz w:val="32"/>
          <w:szCs w:val="32"/>
          <w:highlight w:val="none"/>
          <w:lang w:val="en-US" w:eastAsia="zh-CN"/>
        </w:rPr>
        <w:t>第二大点第（一）条</w:t>
      </w:r>
      <w:r>
        <w:rPr>
          <w:rFonts w:hint="eastAsia" w:ascii="仿宋_GB2312" w:hAnsi="仿宋_GB2312" w:eastAsia="仿宋_GB2312" w:cs="仿宋_GB2312"/>
          <w:b w:val="0"/>
          <w:bCs w:val="0"/>
          <w:color w:val="auto"/>
          <w:kern w:val="0"/>
          <w:sz w:val="32"/>
          <w:szCs w:val="32"/>
          <w:highlight w:val="none"/>
          <w:lang w:eastAsia="zh-CN"/>
        </w:rPr>
        <w:t>房产评估价格问题，原内容“</w:t>
      </w:r>
      <w:r>
        <w:rPr>
          <w:rFonts w:hint="eastAsia" w:ascii="仿宋_GB2312" w:hAnsi="仿宋_GB2312" w:eastAsia="仿宋_GB2312" w:cs="仿宋_GB2312"/>
          <w:b w:val="0"/>
          <w:bCs w:val="0"/>
          <w:color w:val="auto"/>
          <w:sz w:val="32"/>
          <w:szCs w:val="32"/>
          <w:highlight w:val="none"/>
        </w:rPr>
        <w:t>应补缴的土地出让金按房产</w:t>
      </w:r>
      <w:r>
        <w:rPr>
          <w:rFonts w:hint="eastAsia" w:ascii="仿宋_GB2312" w:hAnsi="仿宋_GB2312" w:eastAsia="仿宋_GB2312" w:cs="仿宋_GB2312"/>
          <w:b w:val="0"/>
          <w:bCs w:val="0"/>
          <w:color w:val="auto"/>
          <w:sz w:val="32"/>
          <w:szCs w:val="32"/>
          <w:highlight w:val="none"/>
          <w:lang w:val="en-US" w:eastAsia="zh-CN"/>
        </w:rPr>
        <w:t>评估</w:t>
      </w:r>
      <w:r>
        <w:rPr>
          <w:rFonts w:hint="eastAsia" w:ascii="仿宋_GB2312" w:hAnsi="仿宋_GB2312" w:eastAsia="仿宋_GB2312" w:cs="仿宋_GB2312"/>
          <w:b w:val="0"/>
          <w:bCs w:val="0"/>
          <w:color w:val="auto"/>
          <w:sz w:val="32"/>
          <w:szCs w:val="32"/>
          <w:highlight w:val="none"/>
        </w:rPr>
        <w:t>价格的1％计收，</w:t>
      </w:r>
      <w:r>
        <w:rPr>
          <w:rFonts w:hint="eastAsia" w:ascii="仿宋_GB2312" w:hAnsi="仿宋_GB2312" w:eastAsia="仿宋_GB2312" w:cs="仿宋_GB2312"/>
          <w:b w:val="0"/>
          <w:bCs w:val="0"/>
          <w:color w:val="auto"/>
          <w:sz w:val="32"/>
          <w:szCs w:val="32"/>
          <w:highlight w:val="none"/>
          <w:lang w:val="en-US" w:eastAsia="zh-CN"/>
        </w:rPr>
        <w:t>房产评估</w:t>
      </w:r>
      <w:r>
        <w:rPr>
          <w:rFonts w:hint="eastAsia" w:ascii="仿宋_GB2312" w:hAnsi="仿宋_GB2312" w:eastAsia="仿宋_GB2312" w:cs="仿宋_GB2312"/>
          <w:b w:val="0"/>
          <w:bCs w:val="0"/>
          <w:color w:val="auto"/>
          <w:sz w:val="32"/>
          <w:szCs w:val="32"/>
          <w:highlight w:val="none"/>
        </w:rPr>
        <w:t>价格</w:t>
      </w:r>
      <w:r>
        <w:rPr>
          <w:rFonts w:hint="eastAsia" w:ascii="仿宋_GB2312" w:hAnsi="仿宋_GB2312" w:eastAsia="仿宋_GB2312" w:cs="仿宋_GB2312"/>
          <w:b w:val="0"/>
          <w:bCs w:val="0"/>
          <w:color w:val="auto"/>
          <w:sz w:val="32"/>
          <w:szCs w:val="32"/>
          <w:highlight w:val="none"/>
          <w:lang w:val="en-US" w:eastAsia="zh-CN"/>
        </w:rPr>
        <w:t>由自然资源部门函询税务部门</w:t>
      </w:r>
      <w:r>
        <w:rPr>
          <w:rFonts w:hint="eastAsia" w:ascii="仿宋_GB2312" w:hAnsi="仿宋_GB2312" w:eastAsia="仿宋_GB2312" w:cs="仿宋_GB2312"/>
          <w:b w:val="0"/>
          <w:bCs w:val="0"/>
          <w:color w:val="auto"/>
          <w:sz w:val="32"/>
          <w:szCs w:val="32"/>
          <w:highlight w:val="none"/>
          <w:lang w:eastAsia="zh-CN"/>
        </w:rPr>
        <w:t>确定</w:t>
      </w:r>
      <w:r>
        <w:rPr>
          <w:rFonts w:hint="eastAsia" w:ascii="仿宋_GB2312" w:hAnsi="仿宋_GB2312" w:eastAsia="仿宋_GB2312" w:cs="仿宋_GB2312"/>
          <w:b w:val="0"/>
          <w:bCs w:val="0"/>
          <w:color w:val="auto"/>
          <w:kern w:val="0"/>
          <w:sz w:val="32"/>
          <w:szCs w:val="32"/>
          <w:highlight w:val="none"/>
          <w:lang w:eastAsia="zh-CN"/>
        </w:rPr>
        <w:t>”修改为“</w:t>
      </w:r>
      <w:r>
        <w:rPr>
          <w:rFonts w:hint="eastAsia" w:ascii="仿宋_GB2312" w:hAnsi="仿宋_GB2312" w:eastAsia="仿宋_GB2312" w:cs="仿宋_GB2312"/>
          <w:b w:val="0"/>
          <w:bCs w:val="0"/>
          <w:color w:val="auto"/>
          <w:sz w:val="32"/>
          <w:szCs w:val="32"/>
          <w:highlight w:val="none"/>
        </w:rPr>
        <w:t>应补缴的土地出让金按房产</w:t>
      </w:r>
      <w:r>
        <w:rPr>
          <w:rFonts w:hint="eastAsia" w:ascii="仿宋_GB2312" w:hAnsi="仿宋_GB2312" w:eastAsia="仿宋_GB2312" w:cs="仿宋_GB2312"/>
          <w:b w:val="0"/>
          <w:bCs w:val="0"/>
          <w:color w:val="auto"/>
          <w:sz w:val="32"/>
          <w:szCs w:val="32"/>
          <w:highlight w:val="none"/>
          <w:lang w:val="en-US" w:eastAsia="zh-CN"/>
        </w:rPr>
        <w:t>评估</w:t>
      </w:r>
      <w:r>
        <w:rPr>
          <w:rFonts w:hint="eastAsia" w:ascii="仿宋_GB2312" w:hAnsi="仿宋_GB2312" w:eastAsia="仿宋_GB2312" w:cs="仿宋_GB2312"/>
          <w:b w:val="0"/>
          <w:bCs w:val="0"/>
          <w:color w:val="auto"/>
          <w:sz w:val="32"/>
          <w:szCs w:val="32"/>
          <w:highlight w:val="none"/>
        </w:rPr>
        <w:t>价格的1％计收，</w:t>
      </w:r>
      <w:r>
        <w:rPr>
          <w:rFonts w:hint="eastAsia" w:ascii="仿宋_GB2312" w:hAnsi="仿宋_GB2312" w:eastAsia="仿宋_GB2312" w:cs="仿宋_GB2312"/>
          <w:b w:val="0"/>
          <w:bCs w:val="0"/>
          <w:color w:val="auto"/>
          <w:sz w:val="32"/>
          <w:szCs w:val="32"/>
          <w:highlight w:val="none"/>
          <w:lang w:val="en-US" w:eastAsia="zh-CN"/>
        </w:rPr>
        <w:t>房产评估</w:t>
      </w:r>
      <w:r>
        <w:rPr>
          <w:rFonts w:hint="eastAsia" w:ascii="仿宋_GB2312" w:hAnsi="仿宋_GB2312" w:eastAsia="仿宋_GB2312" w:cs="仿宋_GB2312"/>
          <w:b w:val="0"/>
          <w:bCs w:val="0"/>
          <w:color w:val="auto"/>
          <w:sz w:val="32"/>
          <w:szCs w:val="32"/>
          <w:highlight w:val="none"/>
        </w:rPr>
        <w:t>价格</w:t>
      </w:r>
      <w:r>
        <w:rPr>
          <w:rFonts w:hint="eastAsia" w:ascii="仿宋_GB2312" w:hAnsi="仿宋_GB2312" w:eastAsia="仿宋_GB2312" w:cs="仿宋_GB2312"/>
          <w:b w:val="0"/>
          <w:bCs w:val="0"/>
          <w:color w:val="auto"/>
          <w:sz w:val="32"/>
          <w:szCs w:val="32"/>
          <w:highlight w:val="none"/>
          <w:lang w:val="en-US" w:eastAsia="zh-CN"/>
        </w:rPr>
        <w:t>由自然资源部门委托评估机构出具评估结果</w:t>
      </w:r>
      <w:r>
        <w:rPr>
          <w:rFonts w:hint="eastAsia" w:ascii="仿宋_GB2312" w:hAnsi="仿宋_GB2312" w:eastAsia="仿宋_GB2312" w:cs="仿宋_GB2312"/>
          <w:b w:val="0"/>
          <w:bCs w:val="0"/>
          <w:color w:val="auto"/>
          <w:sz w:val="32"/>
          <w:szCs w:val="32"/>
          <w:highlight w:val="none"/>
          <w:lang w:eastAsia="zh-CN"/>
        </w:rPr>
        <w:t>确定”。</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eastAsia="zh-CN"/>
        </w:rPr>
        <w:t>四、解读单位和解读人</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解读单位：惠州市惠阳区自然资源局</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解读人：王思源</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联系电话：0752-3369687</w:t>
      </w:r>
    </w:p>
    <w:p>
      <w:pPr>
        <w:keepNext w:val="0"/>
        <w:keepLines w:val="0"/>
        <w:pageBreakBefore w:val="0"/>
        <w:widowControl/>
        <w:numPr>
          <w:ilvl w:val="0"/>
          <w:numId w:val="0"/>
        </w:numPr>
        <w:kinsoku/>
        <w:wordWrap/>
        <w:overflowPunct/>
        <w:topLinePunct w:val="0"/>
        <w:autoSpaceDE/>
        <w:autoSpaceDN/>
        <w:bidi w:val="0"/>
        <w:adjustRightInd w:val="0"/>
        <w:snapToGrid w:val="0"/>
        <w:spacing w:line="240" w:lineRule="auto"/>
        <w:ind w:leftChars="200"/>
        <w:jc w:val="both"/>
        <w:textAlignment w:val="auto"/>
        <w:rPr>
          <w:rFonts w:hint="eastAsia" w:ascii="仿宋_GB2312" w:hAnsi="仿宋_GB2312" w:eastAsia="仿宋_GB2312" w:cs="仿宋_GB2312"/>
          <w:color w:val="0000FF"/>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240" w:lineRule="auto"/>
        <w:ind w:firstLine="640" w:firstLineChars="200"/>
        <w:jc w:val="both"/>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C89957"/>
    <w:multiLevelType w:val="singleLevel"/>
    <w:tmpl w:val="27C89957"/>
    <w:lvl w:ilvl="0" w:tentative="0">
      <w:start w:val="1"/>
      <w:numFmt w:val="chineseCounting"/>
      <w:suff w:val="nothing"/>
      <w:lvlText w:val="%1、"/>
      <w:lvlJc w:val="left"/>
      <w:pPr>
        <w:ind w:left="20"/>
      </w:pPr>
      <w:rPr>
        <w:rFonts w:hint="eastAsia"/>
      </w:rPr>
    </w:lvl>
  </w:abstractNum>
  <w:abstractNum w:abstractNumId="1">
    <w:nsid w:val="30FD05D7"/>
    <w:multiLevelType w:val="singleLevel"/>
    <w:tmpl w:val="30FD05D7"/>
    <w:lvl w:ilvl="0" w:tentative="0">
      <w:start w:val="3"/>
      <w:numFmt w:val="chineseCounting"/>
      <w:suff w:val="nothing"/>
      <w:lvlText w:val="（%1）"/>
      <w:lvlJc w:val="left"/>
      <w:rPr>
        <w:rFonts w:hint="eastAsia"/>
      </w:rPr>
    </w:lvl>
  </w:abstractNum>
  <w:abstractNum w:abstractNumId="2">
    <w:nsid w:val="4E94E8DF"/>
    <w:multiLevelType w:val="singleLevel"/>
    <w:tmpl w:val="4E94E8DF"/>
    <w:lvl w:ilvl="0" w:tentative="0">
      <w:start w:val="2"/>
      <w:numFmt w:val="chineseCounting"/>
      <w:suff w:val="nothing"/>
      <w:lvlText w:val="（%1）"/>
      <w:lvlJc w:val="left"/>
      <w:rPr>
        <w:rFonts w:hint="eastAsia"/>
      </w:rPr>
    </w:lvl>
  </w:abstractNum>
  <w:abstractNum w:abstractNumId="3">
    <w:nsid w:val="5EB5975E"/>
    <w:multiLevelType w:val="singleLevel"/>
    <w:tmpl w:val="5EB5975E"/>
    <w:lvl w:ilvl="0" w:tentative="0">
      <w:start w:val="8"/>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323B43"/>
    <w:rsid w:val="003D37D8"/>
    <w:rsid w:val="00426133"/>
    <w:rsid w:val="004358AB"/>
    <w:rsid w:val="008B7726"/>
    <w:rsid w:val="00D31D50"/>
    <w:rsid w:val="06E13668"/>
    <w:rsid w:val="132123E1"/>
    <w:rsid w:val="1B9117A4"/>
    <w:rsid w:val="21C8476A"/>
    <w:rsid w:val="336F4A98"/>
    <w:rsid w:val="34165DBC"/>
    <w:rsid w:val="591620F1"/>
    <w:rsid w:val="78CB4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王思源</cp:lastModifiedBy>
  <dcterms:modified xsi:type="dcterms:W3CDTF">2025-04-07T06:31:28Z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4994B86CB29D4BDAA3EE1D24D6E86F33</vt:lpwstr>
  </property>
</Properties>
</file>